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91" w:rsidRPr="001637E0" w:rsidRDefault="00794491" w:rsidP="00794491">
      <w:pPr>
        <w:autoSpaceDE/>
        <w:autoSpaceDN/>
        <w:adjustRightInd/>
        <w:spacing w:after="200" w:line="276" w:lineRule="auto"/>
        <w:rPr>
          <w:rFonts w:ascii="Sylfaen" w:hAnsi="Sylfaen" w:cs="Sylfaen"/>
          <w:b/>
          <w:i/>
          <w:lang w:val="ka-GE"/>
        </w:rPr>
      </w:pPr>
    </w:p>
    <w:p w:rsidR="00794491" w:rsidRPr="001637E0" w:rsidRDefault="00794491" w:rsidP="00794491">
      <w:pPr>
        <w:jc w:val="center"/>
        <w:rPr>
          <w:rFonts w:ascii="Sylfaen" w:hAnsi="Sylfaen"/>
          <w:b/>
          <w:sz w:val="22"/>
          <w:szCs w:val="22"/>
          <w:lang w:val="ka-GE"/>
        </w:rPr>
      </w:pPr>
      <w:r w:rsidRPr="001637E0">
        <w:rPr>
          <w:rFonts w:ascii="Sylfaen" w:hAnsi="Sylfaen"/>
          <w:b/>
          <w:sz w:val="22"/>
          <w:szCs w:val="22"/>
          <w:lang w:val="ka-GE"/>
        </w:rPr>
        <w:t>განმარტებითი ბარათი</w:t>
      </w:r>
    </w:p>
    <w:p w:rsidR="00794491" w:rsidRPr="001637E0" w:rsidRDefault="00794491" w:rsidP="00794491">
      <w:pPr>
        <w:jc w:val="center"/>
        <w:rPr>
          <w:rFonts w:ascii="Sylfaen" w:hAnsi="Sylfaen"/>
          <w:sz w:val="22"/>
          <w:szCs w:val="22"/>
          <w:lang w:val="ka-GE"/>
        </w:rPr>
      </w:pPr>
      <w:r w:rsidRPr="001637E0">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794491" w:rsidRPr="001637E0" w:rsidRDefault="00794491" w:rsidP="00794491">
      <w:pPr>
        <w:jc w:val="center"/>
        <w:rPr>
          <w:rFonts w:ascii="Sylfaen" w:hAnsi="Sylfaen"/>
          <w:b/>
          <w:sz w:val="22"/>
          <w:szCs w:val="22"/>
        </w:rPr>
      </w:pPr>
      <w:r w:rsidRPr="001637E0">
        <w:rPr>
          <w:rFonts w:ascii="Sylfaen" w:hAnsi="Sylfaen"/>
          <w:b/>
          <w:sz w:val="22"/>
          <w:szCs w:val="22"/>
          <w:lang w:val="ka-GE"/>
        </w:rPr>
        <w:t>საქართველოს მთავრობის დადგენილების პროექტზე</w:t>
      </w:r>
      <w:r w:rsidRPr="001637E0">
        <w:rPr>
          <w:rFonts w:ascii="Sylfaen" w:hAnsi="Sylfaen"/>
          <w:b/>
          <w:sz w:val="22"/>
          <w:szCs w:val="22"/>
        </w:rPr>
        <w:t>:</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პროექტის შესახებ</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1637E0">
        <w:rPr>
          <w:rFonts w:ascii="Sylfaen" w:hAnsi="Sylfaen"/>
          <w:sz w:val="22"/>
          <w:szCs w:val="22"/>
        </w:rPr>
        <w:t>დადგენილების</w:t>
      </w:r>
      <w:proofErr w:type="spellEnd"/>
      <w:r w:rsidRPr="001637E0">
        <w:rPr>
          <w:rFonts w:ascii="Sylfaen" w:hAnsi="Sylfaen"/>
          <w:sz w:val="22"/>
          <w:szCs w:val="22"/>
        </w:rPr>
        <w:t xml:space="preserve"> </w:t>
      </w:r>
      <w:proofErr w:type="spellStart"/>
      <w:r w:rsidRPr="001637E0">
        <w:rPr>
          <w:rFonts w:ascii="Sylfaen" w:hAnsi="Sylfaen"/>
          <w:sz w:val="22"/>
          <w:szCs w:val="22"/>
        </w:rPr>
        <w:t>პროექტის</w:t>
      </w:r>
      <w:proofErr w:type="spellEnd"/>
      <w:r w:rsidRPr="001637E0">
        <w:rPr>
          <w:rFonts w:ascii="Sylfaen" w:hAnsi="Sylfaen"/>
          <w:sz w:val="22"/>
          <w:szCs w:val="22"/>
        </w:rPr>
        <w:t xml:space="preserve"> </w:t>
      </w:r>
      <w:proofErr w:type="spellStart"/>
      <w:r w:rsidRPr="001637E0">
        <w:rPr>
          <w:rFonts w:ascii="Sylfaen" w:hAnsi="Sylfaen"/>
          <w:sz w:val="22"/>
          <w:szCs w:val="22"/>
        </w:rPr>
        <w:t>მომზადება</w:t>
      </w:r>
      <w:proofErr w:type="spellEnd"/>
      <w:r w:rsidRPr="001637E0">
        <w:rPr>
          <w:rFonts w:ascii="Sylfaen" w:hAnsi="Sylfaen"/>
          <w:sz w:val="22"/>
          <w:szCs w:val="22"/>
        </w:rPr>
        <w:t xml:space="preserve"> </w:t>
      </w:r>
      <w:proofErr w:type="spellStart"/>
      <w:r w:rsidRPr="001637E0">
        <w:rPr>
          <w:rFonts w:ascii="Sylfaen" w:hAnsi="Sylfaen"/>
          <w:sz w:val="22"/>
          <w:szCs w:val="22"/>
        </w:rPr>
        <w:t>განპირობებულია</w:t>
      </w:r>
      <w:proofErr w:type="spellEnd"/>
      <w:r w:rsidRPr="001637E0">
        <w:rPr>
          <w:rFonts w:ascii="Sylfaen" w:hAnsi="Sylfaen"/>
          <w:sz w:val="22"/>
          <w:szCs w:val="22"/>
        </w:rPr>
        <w:t xml:space="preserve"> </w:t>
      </w:r>
      <w:proofErr w:type="spellStart"/>
      <w:r w:rsidRPr="001637E0">
        <w:rPr>
          <w:rFonts w:ascii="Sylfaen" w:hAnsi="Sylfaen"/>
          <w:sz w:val="22"/>
          <w:szCs w:val="22"/>
        </w:rPr>
        <w:t>შემდეგი</w:t>
      </w:r>
      <w:proofErr w:type="spellEnd"/>
      <w:r w:rsidRPr="001637E0">
        <w:rPr>
          <w:rFonts w:ascii="Sylfaen" w:hAnsi="Sylfaen"/>
          <w:sz w:val="22"/>
          <w:szCs w:val="22"/>
        </w:rPr>
        <w:t xml:space="preserve"> </w:t>
      </w:r>
      <w:proofErr w:type="spellStart"/>
      <w:r w:rsidRPr="001637E0">
        <w:rPr>
          <w:rFonts w:ascii="Sylfaen" w:hAnsi="Sylfaen"/>
          <w:sz w:val="22"/>
          <w:szCs w:val="22"/>
        </w:rPr>
        <w:t>გარემოებით</w:t>
      </w:r>
      <w:proofErr w:type="spellEnd"/>
      <w:r w:rsidRPr="001637E0">
        <w:rPr>
          <w:rFonts w:ascii="Sylfaen" w:hAnsi="Sylfaen"/>
          <w:sz w:val="22"/>
          <w:szCs w:val="22"/>
        </w:rPr>
        <w:t>:</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637E0">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rsidR="00794491" w:rsidRPr="001637E0" w:rsidRDefault="00794491" w:rsidP="00794491">
      <w:pPr>
        <w:spacing w:before="100" w:beforeAutospacing="1" w:after="100" w:afterAutospacing="1"/>
        <w:ind w:firstLine="720"/>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 xml:space="preserve">2. </w:t>
      </w:r>
      <w:r w:rsidRPr="001637E0">
        <w:rPr>
          <w:rFonts w:ascii="Sylfaen" w:hAnsi="Sylfaen"/>
          <w:sz w:val="22"/>
          <w:szCs w:val="22"/>
          <w:lang w:val="ka-GE"/>
        </w:rPr>
        <w:t>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sidRPr="001637E0">
        <w:rPr>
          <w:rFonts w:ascii="Sylfaen" w:hAnsi="Sylfaen" w:cs="Sylfaen"/>
          <w:sz w:val="22"/>
          <w:szCs w:val="22"/>
          <w:shd w:val="clear" w:color="auto" w:fill="FFFFFF"/>
          <w:lang w:val="ka-GE"/>
        </w:rPr>
        <w:t xml:space="preserve">3.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w:t>
      </w:r>
      <w:r w:rsidRPr="001637E0">
        <w:rPr>
          <w:rFonts w:ascii="Sylfaen" w:hAnsi="Sylfaen" w:cs="Sylfaen"/>
          <w:sz w:val="22"/>
          <w:szCs w:val="22"/>
          <w:shd w:val="clear" w:color="auto" w:fill="FFFFFF"/>
          <w:lang w:val="ka-GE"/>
        </w:rPr>
        <w:lastRenderedPageBreak/>
        <w:t xml:space="preserve">დღეის მდგომარეობით, სტუდენტური პაკეტით სარგებლობს 6 416 პროფესიული სტუდენტი, ხოლო </w:t>
      </w:r>
      <w:r w:rsidRPr="001637E0">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Pr="001637E0">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Pr="001637E0">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rsidR="00794491" w:rsidRPr="001637E0" w:rsidRDefault="00794491" w:rsidP="00794491">
      <w:pPr>
        <w:spacing w:before="100" w:beforeAutospacing="1" w:after="100" w:afterAutospacing="1"/>
        <w:ind w:firstLine="720"/>
        <w:jc w:val="both"/>
        <w:rPr>
          <w:rFonts w:ascii="Sylfaen" w:hAnsi="Sylfaen"/>
          <w:sz w:val="22"/>
          <w:szCs w:val="22"/>
          <w:lang w:val="ka-GE"/>
        </w:rPr>
      </w:pPr>
      <w:r w:rsidRPr="001637E0">
        <w:rPr>
          <w:rFonts w:ascii="Sylfaen" w:hAnsi="Sylfaen" w:cs="Sylfaen"/>
          <w:sz w:val="22"/>
          <w:szCs w:val="22"/>
          <w:shd w:val="clear" w:color="auto" w:fill="FFFFFF"/>
          <w:lang w:val="ka-GE"/>
        </w:rPr>
        <w:t xml:space="preserve">4. </w:t>
      </w:r>
      <w:r w:rsidRPr="001637E0">
        <w:rPr>
          <w:rFonts w:ascii="Sylfaen" w:hAnsi="Sylfaen"/>
          <w:sz w:val="22"/>
          <w:szCs w:val="22"/>
          <w:lang w:val="ka-GE"/>
        </w:rPr>
        <w:t>სსიპ სოციალური მომსახურების სააგენტოს მიერ ჩატარებული ანალიზის შედეგად (N</w:t>
      </w:r>
      <w:r w:rsidRPr="001637E0">
        <w:rPr>
          <w:sz w:val="22"/>
          <w:szCs w:val="22"/>
          <w:lang w:val="ka-GE"/>
        </w:rPr>
        <w:t>04/46525 02.09.19</w:t>
      </w:r>
      <w:r>
        <w:rPr>
          <w:rFonts w:ascii="Sylfaen" w:hAnsi="Sylfaen"/>
          <w:sz w:val="22"/>
          <w:szCs w:val="22"/>
          <w:lang w:val="ka-GE"/>
        </w:rPr>
        <w:t>, N51147 30.09.19</w:t>
      </w:r>
      <w:r w:rsidRPr="001637E0">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794491" w:rsidRPr="00794491"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1637E0">
        <w:rPr>
          <w:rFonts w:ascii="Sylfaen" w:hAnsi="Sylfaen" w:cs="Sylfaen"/>
          <w:sz w:val="22"/>
          <w:szCs w:val="22"/>
          <w:lang w:val="ka-GE"/>
        </w:rPr>
        <w:t xml:space="preserve">მიმდინარე ეტაპზე </w:t>
      </w:r>
      <w:r w:rsidRPr="001637E0">
        <w:rPr>
          <w:rFonts w:ascii="Sylfaen" w:hAnsi="Sylfaen" w:cs="Sylfaen"/>
          <w:sz w:val="22"/>
          <w:szCs w:val="22"/>
          <w:shd w:val="clear" w:color="auto" w:fill="FFFFFF"/>
          <w:lang w:val="ka-GE"/>
        </w:rPr>
        <w:t xml:space="preserve">მიზანშეწონილად იქნა მიჩნეული </w:t>
      </w:r>
      <w:r w:rsidRPr="001637E0">
        <w:rPr>
          <w:rFonts w:ascii="Sylfaen" w:eastAsia="Sylfaen" w:hAnsi="Sylfaen"/>
          <w:sz w:val="22"/>
          <w:szCs w:val="22"/>
          <w:lang w:val="ka-GE"/>
        </w:rPr>
        <w:t xml:space="preserve">კარდიოქირურგია/ინტერვენციული კარდიოლოგია/რითმოლოგიის </w:t>
      </w:r>
      <w:proofErr w:type="spellStart"/>
      <w:r w:rsidRPr="001637E0">
        <w:rPr>
          <w:rFonts w:ascii="Sylfaen" w:eastAsia="Sylfaen" w:hAnsi="Sylfaen"/>
          <w:sz w:val="22"/>
          <w:szCs w:val="22"/>
        </w:rPr>
        <w:t>ნოზოლოგიური</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ჯგუფების</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დიაგნოზთან</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შეჭიდული</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მსგავსი</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სირთულის</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შინაარსობრივად</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ერთგვარი</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ინტერვენციების</w:t>
      </w:r>
      <w:proofErr w:type="spellEnd"/>
      <w:r w:rsidRPr="001637E0">
        <w:rPr>
          <w:rFonts w:ascii="Sylfaen" w:eastAsia="Sylfaen" w:hAnsi="Sylfaen"/>
          <w:sz w:val="22"/>
          <w:szCs w:val="22"/>
        </w:rPr>
        <w:t xml:space="preserve"> </w:t>
      </w:r>
      <w:proofErr w:type="spellStart"/>
      <w:r w:rsidRPr="001637E0">
        <w:rPr>
          <w:rFonts w:ascii="Sylfaen" w:eastAsia="Sylfaen" w:hAnsi="Sylfaen"/>
          <w:sz w:val="22"/>
          <w:szCs w:val="22"/>
        </w:rPr>
        <w:t>დაჯგუფება</w:t>
      </w:r>
      <w:proofErr w:type="spellEnd"/>
      <w:r w:rsidRPr="001637E0">
        <w:rPr>
          <w:rFonts w:ascii="Sylfaen" w:eastAsia="Sylfaen" w:hAnsi="Sylfaen"/>
          <w:sz w:val="22"/>
          <w:szCs w:val="22"/>
        </w:rPr>
        <w:t>)</w:t>
      </w:r>
      <w:r w:rsidRPr="001637E0">
        <w:rPr>
          <w:rFonts w:ascii="Sylfaen" w:eastAsia="Sylfaen" w:hAnsi="Sylfaen"/>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1637E0">
        <w:rPr>
          <w:rFonts w:ascii="Sylfaen" w:eastAsia="Sylfaen" w:hAnsi="Sylfaen"/>
          <w:sz w:val="22"/>
          <w:szCs w:val="22"/>
        </w:rPr>
        <w:t>.</w:t>
      </w:r>
      <w:r w:rsidRPr="001637E0">
        <w:rPr>
          <w:rFonts w:ascii="Sylfaen" w:eastAsia="Sylfaen" w:hAnsi="Sylfaen"/>
          <w:sz w:val="22"/>
          <w:szCs w:val="22"/>
          <w:lang w:val="ka-GE"/>
        </w:rPr>
        <w:t xml:space="preserve"> </w:t>
      </w:r>
    </w:p>
    <w:p w:rsidR="00794491" w:rsidRPr="00794491"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19463C">
        <w:rPr>
          <w:rFonts w:ascii="Sylfaen" w:eastAsia="Sylfaen" w:hAnsi="Sylfaen"/>
          <w:sz w:val="22"/>
          <w:szCs w:val="22"/>
          <w:lang w:val="ka-GE"/>
        </w:rPr>
        <w:t>ამასთან, კარდიოქირურგია/ინტერვენციული კარდიოლოგია/</w:t>
      </w:r>
      <w:r>
        <w:rPr>
          <w:rFonts w:ascii="Sylfaen" w:eastAsia="Sylfaen" w:hAnsi="Sylfaen"/>
          <w:sz w:val="22"/>
          <w:szCs w:val="22"/>
          <w:lang w:val="ka-GE"/>
        </w:rPr>
        <w:t>რით</w:t>
      </w:r>
      <w:r w:rsidRPr="0019463C">
        <w:rPr>
          <w:rFonts w:ascii="Sylfaen" w:eastAsia="Sylfaen" w:hAnsi="Sylfaen"/>
          <w:sz w:val="22"/>
          <w:szCs w:val="22"/>
          <w:lang w:val="ka-GE"/>
        </w:rPr>
        <w:t xml:space="preserve">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w:t>
      </w:r>
      <w:r>
        <w:rPr>
          <w:rFonts w:ascii="Sylfaen" w:eastAsia="Sylfaen" w:hAnsi="Sylfaen"/>
          <w:sz w:val="22"/>
          <w:szCs w:val="22"/>
          <w:lang w:val="ka-GE"/>
        </w:rPr>
        <w:t xml:space="preserve">(მ.შ. წამლით დაფარული სტენტი) </w:t>
      </w:r>
      <w:r w:rsidRPr="0019463C">
        <w:rPr>
          <w:rFonts w:ascii="Sylfaen" w:eastAsia="Sylfaen" w:hAnsi="Sylfaen"/>
          <w:sz w:val="22"/>
          <w:szCs w:val="22"/>
          <w:lang w:val="ka-GE"/>
        </w:rPr>
        <w:t>რაოდენობის მიხედვით</w:t>
      </w:r>
      <w:r w:rsidRPr="00794491">
        <w:rPr>
          <w:rFonts w:ascii="Sylfaen" w:eastAsia="Sylfaen" w:hAnsi="Sylfaen"/>
          <w:sz w:val="22"/>
          <w:szCs w:val="22"/>
          <w:lang w:val="ka-GE"/>
        </w:rPr>
        <w:t>.</w:t>
      </w:r>
    </w:p>
    <w:p w:rsidR="00794491" w:rsidRPr="00A14D55"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A14D55">
        <w:rPr>
          <w:rFonts w:ascii="Sylfaen" w:hAnsi="Sylfaen" w:cs="Sylfaen"/>
          <w:sz w:val="22"/>
          <w:szCs w:val="22"/>
          <w:lang w:val="ka-GE"/>
        </w:rPr>
        <w:t>ამჟამად კარდიოქირურგია/ინტერვენციული კარდიოლოგია/</w:t>
      </w:r>
      <w:r>
        <w:rPr>
          <w:rFonts w:ascii="Sylfaen" w:hAnsi="Sylfaen" w:cs="Sylfaen"/>
          <w:sz w:val="22"/>
          <w:szCs w:val="22"/>
          <w:lang w:val="ka-GE"/>
        </w:rPr>
        <w:t>რით</w:t>
      </w:r>
      <w:r w:rsidRPr="00A14D55">
        <w:rPr>
          <w:rFonts w:ascii="Sylfaen" w:hAnsi="Sylfaen" w:cs="Sylfaen"/>
          <w:sz w:val="22"/>
          <w:szCs w:val="22"/>
          <w:lang w:val="ka-GE"/>
        </w:rPr>
        <w:t xml:space="preserve">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w:t>
      </w:r>
      <w:r w:rsidRPr="00A14D55">
        <w:rPr>
          <w:rFonts w:ascii="Sylfaen" w:hAnsi="Sylfaen" w:cs="Sylfaen"/>
          <w:sz w:val="22"/>
          <w:szCs w:val="22"/>
          <w:lang w:val="ka-GE"/>
        </w:rPr>
        <w:lastRenderedPageBreak/>
        <w:t>უნიფიცირების პირობებში, პროგრამი</w:t>
      </w:r>
      <w:r>
        <w:rPr>
          <w:rFonts w:ascii="Sylfaen" w:hAnsi="Sylfaen" w:cs="Sylfaen"/>
          <w:sz w:val="22"/>
          <w:szCs w:val="22"/>
          <w:lang w:val="ka-GE"/>
        </w:rPr>
        <w:t>თ</w:t>
      </w:r>
      <w:r w:rsidRPr="00A14D55">
        <w:rPr>
          <w:rFonts w:ascii="Sylfaen" w:hAnsi="Sylfaen" w:cs="Sylfaen"/>
          <w:sz w:val="22"/>
          <w:szCs w:val="22"/>
          <w:lang w:val="ka-GE"/>
        </w:rPr>
        <w:t xml:space="preserve"> გათვალისწინებული ბენეფიციართა თანაგადახდის პროცე</w:t>
      </w:r>
      <w:r>
        <w:rPr>
          <w:rFonts w:ascii="Sylfaen" w:hAnsi="Sylfaen" w:cs="Sylfaen"/>
          <w:sz w:val="22"/>
          <w:szCs w:val="22"/>
          <w:lang w:val="ka-GE"/>
        </w:rPr>
        <w:t>ნ</w:t>
      </w:r>
      <w:r w:rsidRPr="00A14D55">
        <w:rPr>
          <w:rFonts w:ascii="Sylfaen" w:hAnsi="Sylfaen" w:cs="Sylfaen"/>
          <w:sz w:val="22"/>
          <w:szCs w:val="22"/>
          <w:lang w:val="ka-GE"/>
        </w:rPr>
        <w:t xml:space="preserve">ტული წილის შენარჩუნების </w:t>
      </w:r>
      <w:r>
        <w:rPr>
          <w:rFonts w:ascii="Sylfaen" w:hAnsi="Sylfaen" w:cs="Sylfaen"/>
          <w:sz w:val="22"/>
          <w:szCs w:val="22"/>
          <w:lang w:val="ka-GE"/>
        </w:rPr>
        <w:t>შემთხვევაში</w:t>
      </w:r>
      <w:r w:rsidRPr="00A14D55">
        <w:rPr>
          <w:rFonts w:ascii="Sylfaen" w:hAnsi="Sylfaen" w:cs="Sylfaen"/>
          <w:sz w:val="22"/>
          <w:szCs w:val="22"/>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Pr>
          <w:rFonts w:ascii="Sylfaen" w:hAnsi="Sylfaen" w:cs="Sylfaen"/>
          <w:sz w:val="22"/>
          <w:szCs w:val="22"/>
          <w:lang w:val="ka-GE"/>
        </w:rPr>
        <w:t>ა</w:t>
      </w:r>
      <w:r w:rsidRPr="00A14D55">
        <w:rPr>
          <w:rFonts w:ascii="Sylfaen"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rsidR="00794491" w:rsidRPr="00B06373"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5.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rsidR="00794491" w:rsidRPr="00B06373"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B06373">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სოციალური მომსახურების სააგენტოს მიერ </w:t>
      </w:r>
      <w:r w:rsidRPr="001637E0">
        <w:rPr>
          <w:rFonts w:ascii="Sylfaen" w:hAnsi="Sylfaen" w:cs="Sylfaen"/>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Pr>
          <w:rFonts w:ascii="Sylfaen" w:hAnsi="Sylfaen" w:cs="Sylfaen"/>
          <w:sz w:val="22"/>
          <w:szCs w:val="22"/>
          <w:lang w:val="ka-GE"/>
        </w:rPr>
        <w:t xml:space="preserve"> </w:t>
      </w:r>
      <w:r w:rsidRPr="001637E0">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1637E0">
        <w:rPr>
          <w:rFonts w:ascii="Sylfaen" w:hAnsi="Sylfaen" w:cs="Sylfaen"/>
          <w:sz w:val="22"/>
          <w:szCs w:val="22"/>
          <w:shd w:val="clear" w:color="auto" w:fill="FFFFFF"/>
          <w:lang w:val="ka-GE"/>
        </w:rPr>
        <w:t>6.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rsidR="00794491"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lang w:val="en-US"/>
        </w:rPr>
      </w:pPr>
      <w:r w:rsidRPr="00323A42">
        <w:rPr>
          <w:rFonts w:ascii="Sylfaen" w:hAnsi="Sylfaen" w:cs="Sylfaen"/>
          <w:sz w:val="22"/>
          <w:szCs w:val="22"/>
          <w:shd w:val="clear" w:color="auto" w:fill="FFFFFF"/>
          <w:lang w:val="ka-GE"/>
        </w:rPr>
        <w:t xml:space="preserve">7. </w:t>
      </w:r>
      <w:r>
        <w:rPr>
          <w:rFonts w:ascii="Sylfaen" w:hAnsi="Sylfaen"/>
          <w:shd w:val="clear" w:color="auto" w:fill="FFFFFF"/>
          <w:lang w:val="ka-GE"/>
        </w:rPr>
        <w:t xml:space="preserve">სსიპ სოციალური მომსახურების სააგენტოდან მიღებული ინფორმაციის თანახმად, საყოველთაო ჯანმრთელობის დაცვის პროგრამის ფარგლებში </w:t>
      </w:r>
      <w:r>
        <w:rPr>
          <w:rFonts w:ascii="Sylfaen" w:hAnsi="Sylfaen"/>
          <w:lang w:val="ka-GE"/>
        </w:rPr>
        <w:t xml:space="preserve">კუჭზე ბარიატრიული (მაღალი ხარისხის სიმსუქნის გამო) ოპერაციების </w:t>
      </w:r>
      <w:r>
        <w:rPr>
          <w:rFonts w:ascii="Sylfaen" w:hAnsi="Sylfaen"/>
          <w:shd w:val="clear" w:color="auto" w:fill="FFFFFF"/>
          <w:lang w:val="ka-GE"/>
        </w:rPr>
        <w:t xml:space="preserve">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 რამაც ხელი შეუწყო მოთხოვნის გაზრდას. საერთაშორისო გამოცდილება და მაღალი ხარისხის მეცნიერული </w:t>
      </w:r>
      <w:r>
        <w:rPr>
          <w:rFonts w:ascii="Sylfaen" w:hAnsi="Sylfaen"/>
          <w:shd w:val="clear" w:color="auto" w:fill="FFFFFF"/>
          <w:lang w:val="ka-GE"/>
        </w:rPr>
        <w:lastRenderedPageBreak/>
        <w:t>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r>
        <w:rPr>
          <w:rFonts w:ascii="Sylfaen" w:hAnsi="Sylfaen"/>
          <w:lang w:val="ka-GE"/>
        </w:rPr>
        <w:t> </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Pr="001637E0">
        <w:rPr>
          <w:rFonts w:ascii="Sylfaen" w:hAnsi="Sylfaen" w:cs="Sylfaen"/>
          <w:sz w:val="22"/>
          <w:szCs w:val="22"/>
          <w:shd w:val="clear" w:color="auto" w:fill="FFFFFF"/>
          <w:lang w:val="ka-GE"/>
        </w:rPr>
        <w:t xml:space="preserve">. </w:t>
      </w:r>
      <w:proofErr w:type="spellStart"/>
      <w:r w:rsidRPr="001637E0">
        <w:rPr>
          <w:rFonts w:ascii="Sylfaen" w:hAnsi="Sylfaen"/>
          <w:sz w:val="22"/>
          <w:szCs w:val="22"/>
        </w:rPr>
        <w:t>საქართველოს</w:t>
      </w:r>
      <w:proofErr w:type="spellEnd"/>
      <w:r w:rsidRPr="001637E0">
        <w:rPr>
          <w:rFonts w:ascii="Sylfaen" w:hAnsi="Sylfaen"/>
          <w:sz w:val="22"/>
          <w:szCs w:val="22"/>
        </w:rPr>
        <w:t xml:space="preserve"> </w:t>
      </w:r>
      <w:proofErr w:type="spellStart"/>
      <w:r w:rsidRPr="001637E0">
        <w:rPr>
          <w:rFonts w:ascii="Sylfaen" w:hAnsi="Sylfaen"/>
          <w:sz w:val="22"/>
          <w:szCs w:val="22"/>
        </w:rPr>
        <w:t>მთავრობის</w:t>
      </w:r>
      <w:proofErr w:type="spellEnd"/>
      <w:r w:rsidRPr="001637E0">
        <w:rPr>
          <w:rFonts w:ascii="Sylfaen" w:hAnsi="Sylfaen"/>
          <w:sz w:val="22"/>
          <w:szCs w:val="22"/>
        </w:rPr>
        <w:t xml:space="preserve"> 2013 </w:t>
      </w:r>
      <w:proofErr w:type="spellStart"/>
      <w:r w:rsidRPr="001637E0">
        <w:rPr>
          <w:rFonts w:ascii="Sylfaen" w:hAnsi="Sylfaen"/>
          <w:sz w:val="22"/>
          <w:szCs w:val="22"/>
        </w:rPr>
        <w:t>წლის</w:t>
      </w:r>
      <w:proofErr w:type="spellEnd"/>
      <w:r w:rsidRPr="001637E0">
        <w:rPr>
          <w:rFonts w:ascii="Sylfaen" w:hAnsi="Sylfaen"/>
          <w:sz w:val="22"/>
          <w:szCs w:val="22"/>
        </w:rPr>
        <w:t xml:space="preserve"> 21 </w:t>
      </w:r>
      <w:proofErr w:type="spellStart"/>
      <w:r w:rsidRPr="001637E0">
        <w:rPr>
          <w:rFonts w:ascii="Sylfaen" w:hAnsi="Sylfaen"/>
          <w:sz w:val="22"/>
          <w:szCs w:val="22"/>
        </w:rPr>
        <w:t>თებერვლის</w:t>
      </w:r>
      <w:proofErr w:type="spellEnd"/>
      <w:r w:rsidRPr="001637E0">
        <w:rPr>
          <w:rFonts w:ascii="Sylfaen" w:hAnsi="Sylfaen"/>
          <w:sz w:val="22"/>
          <w:szCs w:val="22"/>
        </w:rPr>
        <w:t xml:space="preserve"> N36 </w:t>
      </w:r>
      <w:proofErr w:type="spellStart"/>
      <w:r w:rsidRPr="001637E0">
        <w:rPr>
          <w:rFonts w:ascii="Sylfaen" w:hAnsi="Sylfaen"/>
          <w:sz w:val="22"/>
          <w:szCs w:val="22"/>
        </w:rPr>
        <w:t>დადგენილებით</w:t>
      </w:r>
      <w:proofErr w:type="spellEnd"/>
      <w:r w:rsidRPr="001637E0">
        <w:rPr>
          <w:rFonts w:ascii="Sylfaen" w:hAnsi="Sylfaen"/>
          <w:sz w:val="22"/>
          <w:szCs w:val="22"/>
        </w:rPr>
        <w:t xml:space="preserve"> </w:t>
      </w:r>
      <w:proofErr w:type="spellStart"/>
      <w:r w:rsidRPr="001637E0">
        <w:rPr>
          <w:rFonts w:ascii="Sylfaen" w:hAnsi="Sylfaen"/>
          <w:sz w:val="22"/>
          <w:szCs w:val="22"/>
        </w:rPr>
        <w:t>დამტკიცებულ</w:t>
      </w:r>
      <w:proofErr w:type="spellEnd"/>
      <w:r w:rsidRPr="001637E0">
        <w:rPr>
          <w:rFonts w:ascii="Sylfaen" w:hAnsi="Sylfaen"/>
          <w:sz w:val="22"/>
          <w:szCs w:val="22"/>
        </w:rPr>
        <w:t xml:space="preserve"> „</w:t>
      </w:r>
      <w:proofErr w:type="spellStart"/>
      <w:r w:rsidRPr="001637E0">
        <w:rPr>
          <w:rFonts w:ascii="Sylfaen" w:hAnsi="Sylfaen"/>
          <w:sz w:val="22"/>
          <w:szCs w:val="22"/>
        </w:rPr>
        <w:t>საყოველთაო</w:t>
      </w:r>
      <w:proofErr w:type="spellEnd"/>
      <w:r w:rsidRPr="001637E0">
        <w:rPr>
          <w:rFonts w:ascii="Sylfaen" w:hAnsi="Sylfaen"/>
          <w:sz w:val="22"/>
          <w:szCs w:val="22"/>
        </w:rPr>
        <w:t xml:space="preserve"> </w:t>
      </w:r>
      <w:proofErr w:type="spellStart"/>
      <w:r w:rsidRPr="001637E0">
        <w:rPr>
          <w:rFonts w:ascii="Sylfaen" w:hAnsi="Sylfaen"/>
          <w:sz w:val="22"/>
          <w:szCs w:val="22"/>
        </w:rPr>
        <w:t>ჯანმრთელობის</w:t>
      </w:r>
      <w:proofErr w:type="spellEnd"/>
      <w:r w:rsidRPr="001637E0">
        <w:rPr>
          <w:rFonts w:ascii="Sylfaen" w:hAnsi="Sylfaen"/>
          <w:sz w:val="22"/>
          <w:szCs w:val="22"/>
        </w:rPr>
        <w:t xml:space="preserve"> </w:t>
      </w:r>
      <w:proofErr w:type="spellStart"/>
      <w:r w:rsidRPr="001637E0">
        <w:rPr>
          <w:rFonts w:ascii="Sylfaen" w:hAnsi="Sylfaen"/>
          <w:sz w:val="22"/>
          <w:szCs w:val="22"/>
        </w:rPr>
        <w:t>დაცვის</w:t>
      </w:r>
      <w:proofErr w:type="spellEnd"/>
      <w:r w:rsidRPr="001637E0">
        <w:rPr>
          <w:rFonts w:ascii="Sylfaen" w:hAnsi="Sylfaen"/>
          <w:sz w:val="22"/>
          <w:szCs w:val="22"/>
        </w:rPr>
        <w:t xml:space="preserve"> </w:t>
      </w:r>
      <w:proofErr w:type="spellStart"/>
      <w:r w:rsidRPr="001637E0">
        <w:rPr>
          <w:rFonts w:ascii="Sylfaen" w:hAnsi="Sylfaen"/>
          <w:sz w:val="22"/>
          <w:szCs w:val="22"/>
        </w:rPr>
        <w:t>სახელმწიფო</w:t>
      </w:r>
      <w:proofErr w:type="spellEnd"/>
      <w:r w:rsidRPr="001637E0">
        <w:rPr>
          <w:rFonts w:ascii="Sylfaen" w:hAnsi="Sylfaen"/>
          <w:sz w:val="22"/>
          <w:szCs w:val="22"/>
        </w:rPr>
        <w:t xml:space="preserve"> </w:t>
      </w:r>
      <w:proofErr w:type="spellStart"/>
      <w:r w:rsidRPr="001637E0">
        <w:rPr>
          <w:rFonts w:ascii="Sylfaen" w:hAnsi="Sylfaen"/>
          <w:sz w:val="22"/>
          <w:szCs w:val="22"/>
        </w:rPr>
        <w:t>პროგრამ</w:t>
      </w:r>
      <w:r w:rsidRPr="001637E0">
        <w:rPr>
          <w:rFonts w:ascii="Sylfaen" w:hAnsi="Sylfaen"/>
          <w:sz w:val="22"/>
          <w:szCs w:val="22"/>
          <w:lang w:val="ka-GE"/>
        </w:rPr>
        <w:t>აში</w:t>
      </w:r>
      <w:proofErr w:type="spellEnd"/>
      <w:r w:rsidRPr="001637E0">
        <w:rPr>
          <w:rFonts w:ascii="Sylfaen" w:hAnsi="Sylfaen"/>
          <w:sz w:val="22"/>
          <w:szCs w:val="22"/>
        </w:rPr>
        <w:t>“</w:t>
      </w:r>
      <w:r w:rsidRPr="001637E0">
        <w:rPr>
          <w:rFonts w:ascii="Sylfaen" w:hAnsi="Sylfaen"/>
          <w:sz w:val="22"/>
          <w:szCs w:val="22"/>
          <w:lang w:val="ka-GE"/>
        </w:rPr>
        <w:t xml:space="preserve"> </w:t>
      </w:r>
      <w:proofErr w:type="spellStart"/>
      <w:r w:rsidRPr="001637E0">
        <w:rPr>
          <w:rFonts w:ascii="Sylfaen" w:hAnsi="Sylfaen"/>
          <w:sz w:val="22"/>
          <w:szCs w:val="22"/>
        </w:rPr>
        <w:t>მონაწილეობის</w:t>
      </w:r>
      <w:proofErr w:type="spellEnd"/>
      <w:r w:rsidRPr="001637E0">
        <w:rPr>
          <w:sz w:val="22"/>
          <w:szCs w:val="22"/>
        </w:rPr>
        <w:t xml:space="preserve"> </w:t>
      </w:r>
      <w:proofErr w:type="spellStart"/>
      <w:r w:rsidRPr="001637E0">
        <w:rPr>
          <w:rFonts w:ascii="Sylfaen" w:hAnsi="Sylfaen"/>
          <w:sz w:val="22"/>
          <w:szCs w:val="22"/>
        </w:rPr>
        <w:t>უფლების</w:t>
      </w:r>
      <w:proofErr w:type="spellEnd"/>
      <w:r w:rsidRPr="001637E0">
        <w:rPr>
          <w:sz w:val="22"/>
          <w:szCs w:val="22"/>
        </w:rPr>
        <w:t xml:space="preserve"> </w:t>
      </w:r>
      <w:proofErr w:type="spellStart"/>
      <w:r w:rsidRPr="001637E0">
        <w:rPr>
          <w:rFonts w:ascii="Sylfaen" w:hAnsi="Sylfaen"/>
          <w:sz w:val="22"/>
          <w:szCs w:val="22"/>
        </w:rPr>
        <w:t>მქონე</w:t>
      </w:r>
      <w:proofErr w:type="spellEnd"/>
      <w:r w:rsidRPr="001637E0">
        <w:rPr>
          <w:sz w:val="22"/>
          <w:szCs w:val="22"/>
        </w:rPr>
        <w:t xml:space="preserve"> </w:t>
      </w:r>
      <w:proofErr w:type="spellStart"/>
      <w:r w:rsidRPr="001637E0">
        <w:rPr>
          <w:rFonts w:ascii="Sylfaen" w:hAnsi="Sylfaen"/>
          <w:sz w:val="22"/>
          <w:szCs w:val="22"/>
        </w:rPr>
        <w:t>პირთა</w:t>
      </w:r>
      <w:proofErr w:type="spellEnd"/>
      <w:r w:rsidRPr="001637E0">
        <w:rPr>
          <w:sz w:val="22"/>
          <w:szCs w:val="22"/>
        </w:rPr>
        <w:t xml:space="preserve"> </w:t>
      </w:r>
      <w:proofErr w:type="spellStart"/>
      <w:r w:rsidRPr="001637E0">
        <w:rPr>
          <w:rFonts w:ascii="Sylfaen" w:hAnsi="Sylfaen"/>
          <w:sz w:val="22"/>
          <w:szCs w:val="22"/>
        </w:rPr>
        <w:t>კატეგორიების</w:t>
      </w:r>
      <w:proofErr w:type="spellEnd"/>
      <w:r w:rsidRPr="001637E0">
        <w:rPr>
          <w:sz w:val="22"/>
          <w:szCs w:val="22"/>
        </w:rPr>
        <w:t xml:space="preserve"> </w:t>
      </w:r>
      <w:proofErr w:type="spellStart"/>
      <w:r w:rsidRPr="001637E0">
        <w:rPr>
          <w:rFonts w:ascii="Sylfaen" w:hAnsi="Sylfaen"/>
          <w:sz w:val="22"/>
          <w:szCs w:val="22"/>
        </w:rPr>
        <w:t>დამუშავებისა</w:t>
      </w:r>
      <w:proofErr w:type="spellEnd"/>
      <w:r w:rsidRPr="001637E0">
        <w:rPr>
          <w:sz w:val="22"/>
          <w:szCs w:val="22"/>
        </w:rPr>
        <w:t xml:space="preserve"> </w:t>
      </w:r>
      <w:proofErr w:type="spellStart"/>
      <w:r w:rsidRPr="001637E0">
        <w:rPr>
          <w:rFonts w:ascii="Sylfaen" w:hAnsi="Sylfaen"/>
          <w:sz w:val="22"/>
          <w:szCs w:val="22"/>
        </w:rPr>
        <w:t>და</w:t>
      </w:r>
      <w:proofErr w:type="spellEnd"/>
      <w:r w:rsidRPr="001637E0">
        <w:rPr>
          <w:sz w:val="22"/>
          <w:szCs w:val="22"/>
        </w:rPr>
        <w:t xml:space="preserve"> </w:t>
      </w:r>
      <w:proofErr w:type="spellStart"/>
      <w:r w:rsidRPr="001637E0">
        <w:rPr>
          <w:rFonts w:ascii="Sylfaen" w:hAnsi="Sylfaen"/>
          <w:sz w:val="22"/>
          <w:szCs w:val="22"/>
        </w:rPr>
        <w:t>განსაზღვრისას</w:t>
      </w:r>
      <w:proofErr w:type="spellEnd"/>
      <w:r w:rsidRPr="001637E0">
        <w:rPr>
          <w:rFonts w:ascii="Sylfaen" w:hAnsi="Sylfaen"/>
          <w:sz w:val="22"/>
          <w:szCs w:val="22"/>
          <w:lang w:val="ka-GE"/>
        </w:rPr>
        <w:t>, სსიპ-სოციალური მომსახურების სააგენტო</w:t>
      </w:r>
      <w:r w:rsidRPr="001637E0">
        <w:rPr>
          <w:sz w:val="22"/>
          <w:szCs w:val="22"/>
          <w:lang w:val="ka-GE"/>
        </w:rPr>
        <w:t xml:space="preserve"> </w:t>
      </w:r>
      <w:proofErr w:type="spellStart"/>
      <w:r w:rsidRPr="001637E0">
        <w:rPr>
          <w:rFonts w:ascii="Sylfaen" w:hAnsi="Sylfaen"/>
          <w:sz w:val="22"/>
          <w:szCs w:val="22"/>
        </w:rPr>
        <w:t>ეყრდნობა</w:t>
      </w:r>
      <w:proofErr w:type="spellEnd"/>
      <w:r w:rsidRPr="001637E0">
        <w:rPr>
          <w:sz w:val="22"/>
          <w:szCs w:val="22"/>
        </w:rPr>
        <w:t xml:space="preserve"> </w:t>
      </w:r>
      <w:proofErr w:type="spellStart"/>
      <w:r w:rsidRPr="001637E0">
        <w:rPr>
          <w:rFonts w:ascii="Sylfaen" w:hAnsi="Sylfaen"/>
          <w:sz w:val="22"/>
          <w:szCs w:val="22"/>
        </w:rPr>
        <w:t>სხვადასხვა</w:t>
      </w:r>
      <w:proofErr w:type="spellEnd"/>
      <w:r w:rsidRPr="001637E0">
        <w:rPr>
          <w:sz w:val="22"/>
          <w:szCs w:val="22"/>
        </w:rPr>
        <w:t xml:space="preserve"> </w:t>
      </w:r>
      <w:proofErr w:type="spellStart"/>
      <w:r w:rsidRPr="001637E0">
        <w:rPr>
          <w:rFonts w:ascii="Sylfaen" w:hAnsi="Sylfaen"/>
          <w:sz w:val="22"/>
          <w:szCs w:val="22"/>
        </w:rPr>
        <w:t>წყაროებს</w:t>
      </w:r>
      <w:proofErr w:type="spellEnd"/>
      <w:r w:rsidRPr="001637E0">
        <w:rPr>
          <w:sz w:val="22"/>
          <w:szCs w:val="22"/>
        </w:rPr>
        <w:t xml:space="preserve">, </w:t>
      </w:r>
      <w:proofErr w:type="spellStart"/>
      <w:r w:rsidRPr="001637E0">
        <w:rPr>
          <w:rFonts w:ascii="Sylfaen" w:hAnsi="Sylfaen"/>
          <w:sz w:val="22"/>
          <w:szCs w:val="22"/>
        </w:rPr>
        <w:t>რომლებიც</w:t>
      </w:r>
      <w:proofErr w:type="spellEnd"/>
      <w:r w:rsidRPr="001637E0">
        <w:rPr>
          <w:rFonts w:ascii="Sylfaen" w:hAnsi="Sylfaen"/>
          <w:sz w:val="22"/>
          <w:szCs w:val="22"/>
          <w:lang w:val="ka-GE"/>
        </w:rPr>
        <w:t>,</w:t>
      </w:r>
      <w:r w:rsidRPr="001637E0">
        <w:rPr>
          <w:sz w:val="22"/>
          <w:szCs w:val="22"/>
          <w:lang w:val="ka-GE"/>
        </w:rPr>
        <w:t xml:space="preserve"> </w:t>
      </w:r>
      <w:proofErr w:type="spellStart"/>
      <w:r w:rsidRPr="001637E0">
        <w:rPr>
          <w:rFonts w:ascii="Sylfaen" w:hAnsi="Sylfaen"/>
          <w:sz w:val="22"/>
          <w:szCs w:val="22"/>
        </w:rPr>
        <w:t>გარკვეული</w:t>
      </w:r>
      <w:proofErr w:type="spellEnd"/>
      <w:r w:rsidRPr="001637E0">
        <w:rPr>
          <w:sz w:val="22"/>
          <w:szCs w:val="22"/>
        </w:rPr>
        <w:t xml:space="preserve"> </w:t>
      </w:r>
      <w:proofErr w:type="spellStart"/>
      <w:r w:rsidRPr="001637E0">
        <w:rPr>
          <w:rFonts w:ascii="Sylfaen" w:hAnsi="Sylfaen"/>
          <w:sz w:val="22"/>
          <w:szCs w:val="22"/>
        </w:rPr>
        <w:t>საფუძვლებით</w:t>
      </w:r>
      <w:proofErr w:type="spellEnd"/>
      <w:r w:rsidRPr="001637E0">
        <w:rPr>
          <w:sz w:val="22"/>
          <w:szCs w:val="22"/>
        </w:rPr>
        <w:t xml:space="preserve">, </w:t>
      </w:r>
      <w:proofErr w:type="spellStart"/>
      <w:r w:rsidRPr="001637E0">
        <w:rPr>
          <w:rFonts w:ascii="Sylfaen" w:hAnsi="Sylfaen"/>
          <w:sz w:val="22"/>
          <w:szCs w:val="22"/>
        </w:rPr>
        <w:t>შესაძლოა</w:t>
      </w:r>
      <w:proofErr w:type="spellEnd"/>
      <w:r w:rsidRPr="001637E0">
        <w:rPr>
          <w:sz w:val="22"/>
          <w:szCs w:val="22"/>
        </w:rPr>
        <w:t xml:space="preserve">, </w:t>
      </w:r>
      <w:proofErr w:type="spellStart"/>
      <w:r w:rsidRPr="001637E0">
        <w:rPr>
          <w:rFonts w:ascii="Sylfaen" w:hAnsi="Sylfaen"/>
          <w:sz w:val="22"/>
          <w:szCs w:val="22"/>
        </w:rPr>
        <w:t>მოიცავდეს</w:t>
      </w:r>
      <w:proofErr w:type="spellEnd"/>
      <w:r w:rsidRPr="001637E0">
        <w:rPr>
          <w:sz w:val="22"/>
          <w:szCs w:val="22"/>
        </w:rPr>
        <w:t xml:space="preserve"> </w:t>
      </w:r>
      <w:r w:rsidRPr="001637E0">
        <w:rPr>
          <w:rFonts w:ascii="Sylfaen" w:hAnsi="Sylfaen"/>
          <w:sz w:val="22"/>
          <w:szCs w:val="22"/>
          <w:lang w:val="ka-GE"/>
        </w:rPr>
        <w:t xml:space="preserve">სამედიცინო </w:t>
      </w:r>
      <w:proofErr w:type="spellStart"/>
      <w:r w:rsidRPr="001637E0">
        <w:rPr>
          <w:rFonts w:ascii="Sylfaen" w:hAnsi="Sylfaen"/>
          <w:sz w:val="22"/>
          <w:szCs w:val="22"/>
        </w:rPr>
        <w:t>შემთხვევის</w:t>
      </w:r>
      <w:proofErr w:type="spellEnd"/>
      <w:r w:rsidRPr="001637E0">
        <w:rPr>
          <w:sz w:val="22"/>
          <w:szCs w:val="22"/>
        </w:rPr>
        <w:t xml:space="preserve"> </w:t>
      </w:r>
      <w:proofErr w:type="spellStart"/>
      <w:r w:rsidRPr="001637E0">
        <w:rPr>
          <w:rFonts w:ascii="Sylfaen" w:hAnsi="Sylfaen"/>
          <w:sz w:val="22"/>
          <w:szCs w:val="22"/>
        </w:rPr>
        <w:t>დადგომის</w:t>
      </w:r>
      <w:proofErr w:type="spellEnd"/>
      <w:r w:rsidRPr="001637E0">
        <w:rPr>
          <w:sz w:val="22"/>
          <w:szCs w:val="22"/>
        </w:rPr>
        <w:t xml:space="preserve"> </w:t>
      </w:r>
      <w:proofErr w:type="spellStart"/>
      <w:r w:rsidRPr="001637E0">
        <w:rPr>
          <w:rFonts w:ascii="Sylfaen" w:hAnsi="Sylfaen"/>
          <w:sz w:val="22"/>
          <w:szCs w:val="22"/>
        </w:rPr>
        <w:t>მომენტისათვის</w:t>
      </w:r>
      <w:proofErr w:type="spellEnd"/>
      <w:r w:rsidRPr="001637E0">
        <w:rPr>
          <w:sz w:val="22"/>
          <w:szCs w:val="22"/>
        </w:rPr>
        <w:t xml:space="preserve"> </w:t>
      </w:r>
      <w:proofErr w:type="spellStart"/>
      <w:r w:rsidRPr="001637E0">
        <w:rPr>
          <w:rFonts w:ascii="Sylfaen" w:hAnsi="Sylfaen"/>
          <w:sz w:val="22"/>
          <w:szCs w:val="22"/>
        </w:rPr>
        <w:t>შეუსაბამო</w:t>
      </w:r>
      <w:proofErr w:type="spellEnd"/>
      <w:r w:rsidRPr="001637E0">
        <w:rPr>
          <w:sz w:val="22"/>
          <w:szCs w:val="22"/>
        </w:rPr>
        <w:t xml:space="preserve"> </w:t>
      </w:r>
      <w:proofErr w:type="spellStart"/>
      <w:r w:rsidRPr="001637E0">
        <w:rPr>
          <w:rFonts w:ascii="Sylfaen" w:hAnsi="Sylfaen"/>
          <w:sz w:val="22"/>
          <w:szCs w:val="22"/>
        </w:rPr>
        <w:t>ინფორმაციას</w:t>
      </w:r>
      <w:proofErr w:type="spellEnd"/>
      <w:r w:rsidRPr="001637E0">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Pr="001637E0">
        <w:rPr>
          <w:sz w:val="22"/>
          <w:szCs w:val="22"/>
        </w:rPr>
        <w:t>.</w:t>
      </w:r>
      <w:r w:rsidRPr="001637E0">
        <w:rPr>
          <w:rFonts w:ascii="Sylfaen" w:hAnsi="Sylfaen"/>
          <w:sz w:val="22"/>
          <w:szCs w:val="22"/>
          <w:lang w:val="ka-GE"/>
        </w:rPr>
        <w:t xml:space="preserve"> შესაბამისად,</w:t>
      </w:r>
      <w:r>
        <w:rPr>
          <w:rFonts w:ascii="Sylfaen" w:hAnsi="Sylfaen"/>
          <w:sz w:val="22"/>
          <w:szCs w:val="22"/>
          <w:lang w:val="ka-GE"/>
        </w:rPr>
        <w:t xml:space="preserve"> </w:t>
      </w:r>
      <w:proofErr w:type="spellStart"/>
      <w:r w:rsidRPr="001637E0">
        <w:rPr>
          <w:rFonts w:ascii="Sylfaen" w:hAnsi="Sylfaen"/>
          <w:sz w:val="22"/>
          <w:szCs w:val="22"/>
        </w:rPr>
        <w:t>პროგრამის</w:t>
      </w:r>
      <w:proofErr w:type="spellEnd"/>
      <w:r w:rsidRPr="001637E0">
        <w:rPr>
          <w:sz w:val="22"/>
          <w:szCs w:val="22"/>
        </w:rPr>
        <w:t xml:space="preserve"> </w:t>
      </w:r>
      <w:proofErr w:type="spellStart"/>
      <w:r w:rsidRPr="001637E0">
        <w:rPr>
          <w:rFonts w:ascii="Sylfaen" w:hAnsi="Sylfaen"/>
          <w:sz w:val="22"/>
          <w:szCs w:val="22"/>
        </w:rPr>
        <w:t>ეფექტიანობის</w:t>
      </w:r>
      <w:proofErr w:type="spellEnd"/>
      <w:r w:rsidRPr="001637E0">
        <w:rPr>
          <w:sz w:val="22"/>
          <w:szCs w:val="22"/>
        </w:rPr>
        <w:t xml:space="preserve"> </w:t>
      </w:r>
      <w:proofErr w:type="spellStart"/>
      <w:r w:rsidRPr="001637E0">
        <w:rPr>
          <w:rFonts w:ascii="Sylfaen" w:hAnsi="Sylfaen"/>
          <w:sz w:val="22"/>
          <w:szCs w:val="22"/>
        </w:rPr>
        <w:t>მიზნებისათვის</w:t>
      </w:r>
      <w:proofErr w:type="spellEnd"/>
      <w:r w:rsidRPr="001637E0">
        <w:rPr>
          <w:sz w:val="22"/>
          <w:szCs w:val="22"/>
        </w:rPr>
        <w:t xml:space="preserve">, </w:t>
      </w:r>
      <w:proofErr w:type="spellStart"/>
      <w:r w:rsidRPr="001637E0">
        <w:rPr>
          <w:rFonts w:ascii="Sylfaen" w:hAnsi="Sylfaen"/>
          <w:sz w:val="22"/>
          <w:szCs w:val="22"/>
        </w:rPr>
        <w:t>მიზანშეწონილ</w:t>
      </w:r>
      <w:r w:rsidRPr="001637E0">
        <w:rPr>
          <w:rFonts w:ascii="Sylfaen" w:hAnsi="Sylfaen"/>
          <w:sz w:val="22"/>
          <w:szCs w:val="22"/>
          <w:lang w:val="ka-GE"/>
        </w:rPr>
        <w:t>ად</w:t>
      </w:r>
      <w:proofErr w:type="spellEnd"/>
      <w:r w:rsidRPr="001637E0">
        <w:rPr>
          <w:rFonts w:ascii="Sylfaen" w:hAnsi="Sylfaen"/>
          <w:sz w:val="22"/>
          <w:szCs w:val="22"/>
          <w:lang w:val="ka-GE"/>
        </w:rPr>
        <w:t xml:space="preserve"> ჩაითვალა</w:t>
      </w:r>
      <w:r w:rsidRPr="001637E0">
        <w:rPr>
          <w:sz w:val="22"/>
          <w:szCs w:val="22"/>
        </w:rPr>
        <w:t xml:space="preserve">, </w:t>
      </w:r>
      <w:proofErr w:type="spellStart"/>
      <w:r w:rsidRPr="001637E0">
        <w:rPr>
          <w:rFonts w:ascii="Sylfaen" w:hAnsi="Sylfaen"/>
          <w:sz w:val="22"/>
          <w:szCs w:val="22"/>
        </w:rPr>
        <w:t>ნორმატიულ</w:t>
      </w:r>
      <w:proofErr w:type="spellEnd"/>
      <w:r w:rsidRPr="001637E0">
        <w:rPr>
          <w:sz w:val="22"/>
          <w:szCs w:val="22"/>
        </w:rPr>
        <w:t xml:space="preserve"> </w:t>
      </w:r>
      <w:proofErr w:type="spellStart"/>
      <w:r w:rsidRPr="001637E0">
        <w:rPr>
          <w:rFonts w:ascii="Sylfaen" w:hAnsi="Sylfaen"/>
          <w:sz w:val="22"/>
          <w:szCs w:val="22"/>
        </w:rPr>
        <w:t>დონეზე</w:t>
      </w:r>
      <w:proofErr w:type="spellEnd"/>
      <w:r w:rsidRPr="001637E0">
        <w:rPr>
          <w:sz w:val="22"/>
          <w:szCs w:val="22"/>
        </w:rPr>
        <w:t xml:space="preserve"> </w:t>
      </w:r>
      <w:proofErr w:type="spellStart"/>
      <w:r w:rsidRPr="001637E0">
        <w:rPr>
          <w:rFonts w:ascii="Sylfaen" w:hAnsi="Sylfaen"/>
          <w:sz w:val="22"/>
          <w:szCs w:val="22"/>
        </w:rPr>
        <w:t>განისაზღვროს</w:t>
      </w:r>
      <w:proofErr w:type="spellEnd"/>
      <w:r w:rsidRPr="001637E0">
        <w:rPr>
          <w:sz w:val="22"/>
          <w:szCs w:val="22"/>
        </w:rPr>
        <w:t xml:space="preserve"> </w:t>
      </w:r>
      <w:proofErr w:type="spellStart"/>
      <w:r w:rsidRPr="001637E0">
        <w:rPr>
          <w:rFonts w:ascii="Sylfaen" w:hAnsi="Sylfaen"/>
          <w:sz w:val="22"/>
          <w:szCs w:val="22"/>
        </w:rPr>
        <w:t>მსგავსი</w:t>
      </w:r>
      <w:proofErr w:type="spellEnd"/>
      <w:r w:rsidRPr="001637E0">
        <w:rPr>
          <w:sz w:val="22"/>
          <w:szCs w:val="22"/>
        </w:rPr>
        <w:t xml:space="preserve"> </w:t>
      </w:r>
      <w:proofErr w:type="spellStart"/>
      <w:r w:rsidRPr="001637E0">
        <w:rPr>
          <w:rFonts w:ascii="Sylfaen" w:hAnsi="Sylfaen"/>
          <w:sz w:val="22"/>
          <w:szCs w:val="22"/>
        </w:rPr>
        <w:t>ცდომილებების</w:t>
      </w:r>
      <w:proofErr w:type="spellEnd"/>
      <w:r w:rsidRPr="001637E0">
        <w:rPr>
          <w:sz w:val="22"/>
          <w:szCs w:val="22"/>
        </w:rPr>
        <w:t xml:space="preserve"> </w:t>
      </w:r>
      <w:proofErr w:type="spellStart"/>
      <w:r w:rsidRPr="001637E0">
        <w:rPr>
          <w:rFonts w:ascii="Sylfaen" w:hAnsi="Sylfaen"/>
          <w:sz w:val="22"/>
          <w:szCs w:val="22"/>
        </w:rPr>
        <w:t>მართვისა</w:t>
      </w:r>
      <w:proofErr w:type="spellEnd"/>
      <w:r w:rsidRPr="001637E0">
        <w:rPr>
          <w:sz w:val="22"/>
          <w:szCs w:val="22"/>
        </w:rPr>
        <w:t xml:space="preserve"> </w:t>
      </w:r>
      <w:proofErr w:type="spellStart"/>
      <w:r w:rsidRPr="001637E0">
        <w:rPr>
          <w:rFonts w:ascii="Sylfaen" w:hAnsi="Sylfaen"/>
          <w:sz w:val="22"/>
          <w:szCs w:val="22"/>
        </w:rPr>
        <w:t>და</w:t>
      </w:r>
      <w:proofErr w:type="spellEnd"/>
      <w:r w:rsidRPr="001637E0">
        <w:rPr>
          <w:sz w:val="22"/>
          <w:szCs w:val="22"/>
        </w:rPr>
        <w:t xml:space="preserve"> </w:t>
      </w:r>
      <w:proofErr w:type="spellStart"/>
      <w:r w:rsidRPr="001637E0">
        <w:rPr>
          <w:rFonts w:ascii="Sylfaen" w:hAnsi="Sylfaen"/>
          <w:sz w:val="22"/>
          <w:szCs w:val="22"/>
        </w:rPr>
        <w:t>გადაწყვეტის</w:t>
      </w:r>
      <w:proofErr w:type="spellEnd"/>
      <w:r w:rsidRPr="001637E0">
        <w:rPr>
          <w:sz w:val="22"/>
          <w:szCs w:val="22"/>
        </w:rPr>
        <w:t xml:space="preserve"> </w:t>
      </w:r>
      <w:proofErr w:type="spellStart"/>
      <w:r w:rsidRPr="001637E0">
        <w:rPr>
          <w:rFonts w:ascii="Sylfaen" w:hAnsi="Sylfaen"/>
          <w:sz w:val="22"/>
          <w:szCs w:val="22"/>
        </w:rPr>
        <w:t>მექანიზმები</w:t>
      </w:r>
      <w:proofErr w:type="spellEnd"/>
      <w:r w:rsidRPr="001637E0">
        <w:rPr>
          <w:rFonts w:ascii="Sylfaen" w:hAnsi="Sylfaen"/>
          <w:sz w:val="22"/>
          <w:szCs w:val="22"/>
          <w:lang w:val="ka-GE"/>
        </w:rPr>
        <w:t>.</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Pr>
          <w:rFonts w:ascii="Sylfaen" w:hAnsi="Sylfaen" w:cs="Sylfaen"/>
          <w:sz w:val="22"/>
          <w:szCs w:val="22"/>
          <w:lang w:val="ka-GE"/>
        </w:rPr>
        <w:t>9</w:t>
      </w:r>
      <w:r w:rsidRPr="001637E0">
        <w:rPr>
          <w:rFonts w:ascii="Sylfaen" w:hAnsi="Sylfaen" w:cs="Sylfaen"/>
          <w:sz w:val="22"/>
          <w:szCs w:val="22"/>
          <w:lang w:val="ka-GE"/>
        </w:rPr>
        <w:t xml:space="preserve">. </w:t>
      </w:r>
      <w:r w:rsidRPr="001637E0">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rsidR="00794491" w:rsidRPr="00F77852" w:rsidRDefault="00794491" w:rsidP="00794491">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proofErr w:type="spellStart"/>
      <w:r w:rsidRPr="001637E0">
        <w:rPr>
          <w:rFonts w:ascii="Sylfaen" w:hAnsi="Sylfaen"/>
          <w:sz w:val="22"/>
          <w:szCs w:val="22"/>
        </w:rPr>
        <w:t>ტერმინი</w:t>
      </w:r>
      <w:proofErr w:type="spellEnd"/>
      <w:r w:rsidRPr="001637E0">
        <w:rPr>
          <w:rFonts w:ascii="Sylfaen" w:hAnsi="Sylfaen"/>
          <w:sz w:val="22"/>
          <w:szCs w:val="22"/>
        </w:rPr>
        <w:t xml:space="preserve"> - „</w:t>
      </w:r>
      <w:proofErr w:type="spellStart"/>
      <w:r w:rsidRPr="001637E0">
        <w:rPr>
          <w:rFonts w:ascii="Sylfaen" w:hAnsi="Sylfaen"/>
          <w:sz w:val="22"/>
          <w:szCs w:val="22"/>
        </w:rPr>
        <w:t>რეჰოსპიტალიზაციის</w:t>
      </w:r>
      <w:proofErr w:type="spellEnd"/>
      <w:r w:rsidRPr="001637E0">
        <w:rPr>
          <w:rFonts w:ascii="Sylfaen" w:hAnsi="Sylfaen"/>
          <w:sz w:val="22"/>
          <w:szCs w:val="22"/>
        </w:rPr>
        <w:t xml:space="preserve">“ </w:t>
      </w:r>
      <w:proofErr w:type="spellStart"/>
      <w:r w:rsidRPr="001637E0">
        <w:rPr>
          <w:rFonts w:ascii="Sylfaen" w:hAnsi="Sylfaen"/>
          <w:sz w:val="22"/>
          <w:szCs w:val="22"/>
        </w:rPr>
        <w:t>არაერთგვაროვანი</w:t>
      </w:r>
      <w:proofErr w:type="spellEnd"/>
      <w:r w:rsidRPr="001637E0">
        <w:rPr>
          <w:rFonts w:ascii="Sylfaen" w:hAnsi="Sylfaen"/>
          <w:sz w:val="22"/>
          <w:szCs w:val="22"/>
        </w:rPr>
        <w:t xml:space="preserve"> </w:t>
      </w:r>
      <w:proofErr w:type="spellStart"/>
      <w:r w:rsidRPr="001637E0">
        <w:rPr>
          <w:rFonts w:ascii="Sylfaen" w:hAnsi="Sylfaen"/>
          <w:sz w:val="22"/>
          <w:szCs w:val="22"/>
        </w:rPr>
        <w:t>გაგების</w:t>
      </w:r>
      <w:proofErr w:type="spellEnd"/>
      <w:r w:rsidRPr="001637E0">
        <w:rPr>
          <w:rFonts w:ascii="Sylfaen" w:hAnsi="Sylfaen"/>
          <w:sz w:val="22"/>
          <w:szCs w:val="22"/>
        </w:rPr>
        <w:t xml:space="preserve"> </w:t>
      </w:r>
      <w:proofErr w:type="spellStart"/>
      <w:r w:rsidRPr="001637E0">
        <w:rPr>
          <w:rFonts w:ascii="Sylfaen" w:hAnsi="Sylfaen"/>
          <w:sz w:val="22"/>
          <w:szCs w:val="22"/>
        </w:rPr>
        <w:t>თავიდან</w:t>
      </w:r>
      <w:proofErr w:type="spellEnd"/>
      <w:r w:rsidRPr="001637E0">
        <w:rPr>
          <w:rFonts w:ascii="Sylfaen" w:hAnsi="Sylfaen"/>
          <w:sz w:val="22"/>
          <w:szCs w:val="22"/>
        </w:rPr>
        <w:t xml:space="preserve"> </w:t>
      </w:r>
      <w:proofErr w:type="spellStart"/>
      <w:r w:rsidRPr="001637E0">
        <w:rPr>
          <w:rFonts w:ascii="Sylfaen" w:hAnsi="Sylfaen"/>
          <w:sz w:val="22"/>
          <w:szCs w:val="22"/>
        </w:rPr>
        <w:t>აცილების</w:t>
      </w:r>
      <w:proofErr w:type="spellEnd"/>
      <w:r w:rsidRPr="001637E0">
        <w:rPr>
          <w:rFonts w:ascii="Sylfaen" w:hAnsi="Sylfaen"/>
          <w:sz w:val="22"/>
          <w:szCs w:val="22"/>
        </w:rPr>
        <w:t xml:space="preserve"> </w:t>
      </w:r>
      <w:proofErr w:type="spellStart"/>
      <w:r w:rsidRPr="001637E0">
        <w:rPr>
          <w:rFonts w:ascii="Sylfaen" w:hAnsi="Sylfaen"/>
          <w:sz w:val="22"/>
          <w:szCs w:val="22"/>
        </w:rPr>
        <w:t>მიზნით</w:t>
      </w:r>
      <w:proofErr w:type="spellEnd"/>
      <w:r w:rsidRPr="001637E0">
        <w:rPr>
          <w:rFonts w:ascii="Sylfaen" w:hAnsi="Sylfaen"/>
          <w:sz w:val="22"/>
          <w:szCs w:val="22"/>
        </w:rPr>
        <w:t xml:space="preserve">, </w:t>
      </w:r>
      <w:proofErr w:type="spellStart"/>
      <w:r w:rsidRPr="001637E0">
        <w:rPr>
          <w:rFonts w:ascii="Sylfaen" w:hAnsi="Sylfaen"/>
          <w:sz w:val="22"/>
          <w:szCs w:val="22"/>
        </w:rPr>
        <w:t>დადგენილების</w:t>
      </w:r>
      <w:proofErr w:type="spellEnd"/>
      <w:r w:rsidRPr="001637E0">
        <w:rPr>
          <w:rFonts w:ascii="Sylfaen" w:hAnsi="Sylfaen"/>
          <w:sz w:val="22"/>
          <w:szCs w:val="22"/>
        </w:rPr>
        <w:t xml:space="preserve"> N1 </w:t>
      </w:r>
      <w:proofErr w:type="spellStart"/>
      <w:r w:rsidRPr="001637E0">
        <w:rPr>
          <w:rFonts w:ascii="Sylfaen" w:hAnsi="Sylfaen"/>
          <w:sz w:val="22"/>
          <w:szCs w:val="22"/>
        </w:rPr>
        <w:t>დანართის</w:t>
      </w:r>
      <w:proofErr w:type="spellEnd"/>
      <w:r w:rsidRPr="001637E0">
        <w:rPr>
          <w:rFonts w:ascii="Sylfaen" w:hAnsi="Sylfaen"/>
          <w:sz w:val="22"/>
          <w:szCs w:val="22"/>
        </w:rPr>
        <w:t xml:space="preserve"> მე-15 </w:t>
      </w:r>
      <w:proofErr w:type="spellStart"/>
      <w:r w:rsidRPr="001637E0">
        <w:rPr>
          <w:rFonts w:ascii="Sylfaen" w:hAnsi="Sylfaen"/>
          <w:sz w:val="22"/>
          <w:szCs w:val="22"/>
        </w:rPr>
        <w:t>მუხლის</w:t>
      </w:r>
      <w:proofErr w:type="spellEnd"/>
      <w:r w:rsidRPr="001637E0">
        <w:rPr>
          <w:rFonts w:ascii="Sylfaen" w:hAnsi="Sylfaen"/>
          <w:sz w:val="22"/>
          <w:szCs w:val="22"/>
        </w:rPr>
        <w:t xml:space="preserve"> მე-2 </w:t>
      </w:r>
      <w:proofErr w:type="spellStart"/>
      <w:r w:rsidRPr="001637E0">
        <w:rPr>
          <w:rFonts w:ascii="Sylfaen" w:hAnsi="Sylfaen"/>
          <w:sz w:val="22"/>
          <w:szCs w:val="22"/>
        </w:rPr>
        <w:t>პუნქტის</w:t>
      </w:r>
      <w:proofErr w:type="spellEnd"/>
      <w:r w:rsidRPr="001637E0">
        <w:rPr>
          <w:rFonts w:ascii="Sylfaen" w:hAnsi="Sylfaen"/>
          <w:sz w:val="22"/>
          <w:szCs w:val="22"/>
        </w:rPr>
        <w:t xml:space="preserve"> „ლ“ </w:t>
      </w:r>
      <w:proofErr w:type="spellStart"/>
      <w:r w:rsidRPr="001637E0">
        <w:rPr>
          <w:rFonts w:ascii="Sylfaen" w:hAnsi="Sylfaen"/>
          <w:sz w:val="22"/>
          <w:szCs w:val="22"/>
        </w:rPr>
        <w:t>ქვეპუნქტში</w:t>
      </w:r>
      <w:proofErr w:type="spellEnd"/>
      <w:r w:rsidRPr="001637E0">
        <w:rPr>
          <w:rFonts w:ascii="Sylfaen" w:hAnsi="Sylfaen"/>
          <w:sz w:val="22"/>
          <w:szCs w:val="22"/>
        </w:rPr>
        <w:t xml:space="preserve"> </w:t>
      </w:r>
      <w:proofErr w:type="spellStart"/>
      <w:r w:rsidRPr="001637E0">
        <w:rPr>
          <w:rFonts w:ascii="Sylfaen" w:hAnsi="Sylfaen"/>
          <w:sz w:val="22"/>
          <w:szCs w:val="22"/>
        </w:rPr>
        <w:t>დაზუსტ</w:t>
      </w:r>
      <w:r w:rsidRPr="001637E0">
        <w:rPr>
          <w:rFonts w:ascii="Sylfaen" w:hAnsi="Sylfaen"/>
          <w:sz w:val="22"/>
          <w:szCs w:val="22"/>
          <w:lang w:val="ka-GE"/>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რომ</w:t>
      </w:r>
      <w:proofErr w:type="spellEnd"/>
      <w:r w:rsidRPr="001637E0">
        <w:rPr>
          <w:rFonts w:ascii="Sylfaen" w:hAnsi="Sylfaen"/>
          <w:sz w:val="22"/>
          <w:szCs w:val="22"/>
        </w:rPr>
        <w:t xml:space="preserve"> </w:t>
      </w:r>
      <w:proofErr w:type="spellStart"/>
      <w:r w:rsidRPr="001637E0">
        <w:rPr>
          <w:rFonts w:ascii="Sylfaen" w:hAnsi="Sylfaen"/>
          <w:sz w:val="22"/>
          <w:szCs w:val="22"/>
        </w:rPr>
        <w:t>ამ</w:t>
      </w:r>
      <w:proofErr w:type="spellEnd"/>
      <w:r w:rsidRPr="001637E0">
        <w:rPr>
          <w:rFonts w:ascii="Sylfaen" w:hAnsi="Sylfaen"/>
          <w:sz w:val="22"/>
          <w:szCs w:val="22"/>
        </w:rPr>
        <w:t xml:space="preserve"> </w:t>
      </w:r>
      <w:proofErr w:type="spellStart"/>
      <w:r w:rsidRPr="001637E0">
        <w:rPr>
          <w:rFonts w:ascii="Sylfaen" w:hAnsi="Sylfaen"/>
          <w:sz w:val="22"/>
          <w:szCs w:val="22"/>
        </w:rPr>
        <w:t>ტერმინში</w:t>
      </w:r>
      <w:proofErr w:type="spellEnd"/>
      <w:r w:rsidRPr="001637E0">
        <w:rPr>
          <w:rFonts w:ascii="Sylfaen" w:hAnsi="Sylfaen"/>
          <w:sz w:val="22"/>
          <w:szCs w:val="22"/>
        </w:rPr>
        <w:t xml:space="preserve"> </w:t>
      </w:r>
      <w:proofErr w:type="spellStart"/>
      <w:r w:rsidRPr="001637E0">
        <w:rPr>
          <w:rFonts w:ascii="Sylfaen" w:hAnsi="Sylfaen"/>
          <w:sz w:val="22"/>
          <w:szCs w:val="22"/>
        </w:rPr>
        <w:t>იგულისხმება</w:t>
      </w:r>
      <w:proofErr w:type="spellEnd"/>
      <w:r w:rsidRPr="001637E0">
        <w:rPr>
          <w:rFonts w:ascii="Sylfaen" w:hAnsi="Sylfaen"/>
          <w:sz w:val="22"/>
          <w:szCs w:val="22"/>
        </w:rPr>
        <w:t xml:space="preserve"> </w:t>
      </w:r>
      <w:proofErr w:type="spellStart"/>
      <w:r w:rsidRPr="001637E0">
        <w:rPr>
          <w:rFonts w:ascii="Sylfaen" w:hAnsi="Sylfaen"/>
          <w:sz w:val="22"/>
          <w:szCs w:val="22"/>
        </w:rPr>
        <w:t>იგივე</w:t>
      </w:r>
      <w:proofErr w:type="spellEnd"/>
      <w:r w:rsidRPr="001637E0">
        <w:rPr>
          <w:rFonts w:ascii="Sylfaen" w:hAnsi="Sylfaen"/>
          <w:sz w:val="22"/>
          <w:szCs w:val="22"/>
        </w:rPr>
        <w:t xml:space="preserve"> </w:t>
      </w:r>
      <w:proofErr w:type="spellStart"/>
      <w:r w:rsidRPr="001637E0">
        <w:rPr>
          <w:rFonts w:ascii="Sylfaen" w:hAnsi="Sylfaen"/>
          <w:sz w:val="22"/>
          <w:szCs w:val="22"/>
        </w:rPr>
        <w:t>დიაგნოზით</w:t>
      </w:r>
      <w:proofErr w:type="spellEnd"/>
      <w:r w:rsidRPr="001637E0">
        <w:rPr>
          <w:rFonts w:ascii="Sylfaen" w:hAnsi="Sylfaen"/>
          <w:sz w:val="22"/>
          <w:szCs w:val="22"/>
        </w:rPr>
        <w:t xml:space="preserve"> </w:t>
      </w:r>
      <w:proofErr w:type="spellStart"/>
      <w:r w:rsidRPr="001637E0">
        <w:rPr>
          <w:rFonts w:ascii="Sylfaen" w:hAnsi="Sylfaen"/>
          <w:sz w:val="22"/>
          <w:szCs w:val="22"/>
        </w:rPr>
        <w:t>ან</w:t>
      </w:r>
      <w:proofErr w:type="spellEnd"/>
      <w:r w:rsidRPr="001637E0">
        <w:rPr>
          <w:rFonts w:ascii="Sylfaen" w:hAnsi="Sylfaen"/>
          <w:sz w:val="22"/>
          <w:szCs w:val="22"/>
        </w:rPr>
        <w:t xml:space="preserve"> </w:t>
      </w:r>
      <w:proofErr w:type="spellStart"/>
      <w:r w:rsidRPr="001637E0">
        <w:rPr>
          <w:rFonts w:ascii="Sylfaen" w:hAnsi="Sylfaen"/>
          <w:sz w:val="22"/>
          <w:szCs w:val="22"/>
        </w:rPr>
        <w:t>მისი</w:t>
      </w:r>
      <w:proofErr w:type="spellEnd"/>
      <w:r w:rsidRPr="001637E0">
        <w:rPr>
          <w:rFonts w:ascii="Sylfaen" w:hAnsi="Sylfaen"/>
          <w:sz w:val="22"/>
          <w:szCs w:val="22"/>
        </w:rPr>
        <w:t xml:space="preserve"> </w:t>
      </w:r>
      <w:proofErr w:type="spellStart"/>
      <w:r w:rsidRPr="001637E0">
        <w:rPr>
          <w:rFonts w:ascii="Sylfaen" w:hAnsi="Sylfaen"/>
          <w:sz w:val="22"/>
          <w:szCs w:val="22"/>
        </w:rPr>
        <w:t>გართულებით</w:t>
      </w:r>
      <w:proofErr w:type="spellEnd"/>
      <w:r w:rsidRPr="001637E0">
        <w:rPr>
          <w:rFonts w:ascii="Sylfaen" w:hAnsi="Sylfaen"/>
          <w:sz w:val="22"/>
          <w:szCs w:val="22"/>
        </w:rPr>
        <w:t xml:space="preserve"> 30 </w:t>
      </w:r>
      <w:proofErr w:type="spellStart"/>
      <w:r w:rsidRPr="001637E0">
        <w:rPr>
          <w:rFonts w:ascii="Sylfaen" w:hAnsi="Sylfaen"/>
          <w:sz w:val="22"/>
          <w:szCs w:val="22"/>
        </w:rPr>
        <w:t>კალენდარული</w:t>
      </w:r>
      <w:proofErr w:type="spellEnd"/>
      <w:r w:rsidRPr="001637E0">
        <w:rPr>
          <w:rFonts w:ascii="Sylfaen" w:hAnsi="Sylfaen"/>
          <w:sz w:val="22"/>
          <w:szCs w:val="22"/>
        </w:rPr>
        <w:t xml:space="preserve"> </w:t>
      </w:r>
      <w:proofErr w:type="spellStart"/>
      <w:r w:rsidRPr="001637E0">
        <w:rPr>
          <w:rFonts w:ascii="Sylfaen" w:hAnsi="Sylfaen"/>
          <w:sz w:val="22"/>
          <w:szCs w:val="22"/>
        </w:rPr>
        <w:t>დღის</w:t>
      </w:r>
      <w:proofErr w:type="spellEnd"/>
      <w:r w:rsidRPr="001637E0">
        <w:rPr>
          <w:rFonts w:ascii="Sylfaen" w:hAnsi="Sylfaen"/>
          <w:sz w:val="22"/>
          <w:szCs w:val="22"/>
        </w:rPr>
        <w:t xml:space="preserve"> </w:t>
      </w:r>
      <w:proofErr w:type="spellStart"/>
      <w:r w:rsidRPr="001637E0">
        <w:rPr>
          <w:rFonts w:ascii="Sylfaen" w:hAnsi="Sylfaen"/>
          <w:sz w:val="22"/>
          <w:szCs w:val="22"/>
        </w:rPr>
        <w:t>განმავლობაში</w:t>
      </w:r>
      <w:proofErr w:type="spellEnd"/>
      <w:r w:rsidRPr="001637E0">
        <w:rPr>
          <w:rFonts w:ascii="Sylfaen" w:hAnsi="Sylfaen"/>
          <w:sz w:val="22"/>
          <w:szCs w:val="22"/>
        </w:rPr>
        <w:t xml:space="preserve"> </w:t>
      </w:r>
      <w:proofErr w:type="spellStart"/>
      <w:r w:rsidRPr="001637E0">
        <w:rPr>
          <w:rFonts w:ascii="Sylfaen" w:hAnsi="Sylfaen"/>
          <w:sz w:val="22"/>
          <w:szCs w:val="22"/>
        </w:rPr>
        <w:t>სტაციონარში</w:t>
      </w:r>
      <w:proofErr w:type="spellEnd"/>
      <w:r w:rsidRPr="001637E0">
        <w:rPr>
          <w:rFonts w:ascii="Sylfaen" w:hAnsi="Sylfaen"/>
          <w:sz w:val="22"/>
          <w:szCs w:val="22"/>
        </w:rPr>
        <w:t xml:space="preserve"> </w:t>
      </w:r>
      <w:proofErr w:type="spellStart"/>
      <w:r w:rsidRPr="001637E0">
        <w:rPr>
          <w:rFonts w:ascii="Sylfaen" w:hAnsi="Sylfaen"/>
          <w:sz w:val="22"/>
          <w:szCs w:val="22"/>
        </w:rPr>
        <w:t>შებრუნებული</w:t>
      </w:r>
      <w:proofErr w:type="spellEnd"/>
      <w:r w:rsidRPr="001637E0">
        <w:rPr>
          <w:rFonts w:ascii="Sylfaen" w:hAnsi="Sylfaen"/>
          <w:sz w:val="22"/>
          <w:szCs w:val="22"/>
        </w:rPr>
        <w:t xml:space="preserve"> </w:t>
      </w:r>
      <w:proofErr w:type="spellStart"/>
      <w:r w:rsidRPr="001637E0">
        <w:rPr>
          <w:rFonts w:ascii="Sylfaen" w:hAnsi="Sylfaen"/>
          <w:sz w:val="22"/>
          <w:szCs w:val="22"/>
        </w:rPr>
        <w:t>შემთხვევა</w:t>
      </w:r>
      <w:proofErr w:type="spellEnd"/>
      <w:r w:rsidRPr="001637E0">
        <w:rPr>
          <w:rFonts w:ascii="Sylfaen" w:hAnsi="Sylfaen"/>
          <w:sz w:val="22"/>
          <w:szCs w:val="22"/>
        </w:rPr>
        <w:t>.</w:t>
      </w:r>
    </w:p>
    <w:p w:rsidR="00794491" w:rsidRPr="001637E0" w:rsidRDefault="00794491" w:rsidP="00794491">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1637E0">
        <w:rPr>
          <w:rFonts w:ascii="Sylfaen" w:hAnsi="Sylfaen"/>
          <w:sz w:val="22"/>
          <w:szCs w:val="22"/>
          <w:lang w:val="ka-GE"/>
        </w:rPr>
        <w:t xml:space="preserve">დაზუსტდა </w:t>
      </w:r>
      <w:proofErr w:type="spellStart"/>
      <w:r w:rsidRPr="001637E0">
        <w:rPr>
          <w:rFonts w:ascii="Sylfaen" w:hAnsi="Sylfaen"/>
          <w:sz w:val="22"/>
          <w:szCs w:val="22"/>
        </w:rPr>
        <w:t>დადგენილების</w:t>
      </w:r>
      <w:proofErr w:type="spellEnd"/>
      <w:r w:rsidRPr="001637E0">
        <w:rPr>
          <w:rFonts w:ascii="Sylfaen" w:hAnsi="Sylfaen"/>
          <w:sz w:val="22"/>
          <w:szCs w:val="22"/>
        </w:rPr>
        <w:t xml:space="preserve"> </w:t>
      </w:r>
      <w:proofErr w:type="spellStart"/>
      <w:r w:rsidRPr="001637E0">
        <w:rPr>
          <w:rFonts w:ascii="Sylfaen" w:hAnsi="Sylfaen"/>
          <w:sz w:val="22"/>
          <w:szCs w:val="22"/>
        </w:rPr>
        <w:t>დანართი</w:t>
      </w:r>
      <w:proofErr w:type="spellEnd"/>
      <w:r w:rsidRPr="001637E0">
        <w:rPr>
          <w:rFonts w:ascii="Sylfaen" w:hAnsi="Sylfaen"/>
          <w:sz w:val="22"/>
          <w:szCs w:val="22"/>
        </w:rPr>
        <w:t xml:space="preserve"> 1.2-ით </w:t>
      </w:r>
      <w:proofErr w:type="spellStart"/>
      <w:r w:rsidRPr="001637E0">
        <w:rPr>
          <w:rFonts w:ascii="Sylfaen" w:hAnsi="Sylfaen"/>
          <w:sz w:val="22"/>
          <w:szCs w:val="22"/>
        </w:rPr>
        <w:t>განსაზღვრული</w:t>
      </w:r>
      <w:proofErr w:type="spellEnd"/>
      <w:r w:rsidRPr="001637E0">
        <w:rPr>
          <w:rFonts w:ascii="Sylfaen" w:hAnsi="Sylfaen"/>
          <w:sz w:val="22"/>
          <w:szCs w:val="22"/>
        </w:rPr>
        <w:t xml:space="preserve"> </w:t>
      </w:r>
      <w:proofErr w:type="spellStart"/>
      <w:r w:rsidRPr="001637E0">
        <w:rPr>
          <w:rFonts w:ascii="Sylfaen" w:hAnsi="Sylfaen"/>
          <w:sz w:val="22"/>
          <w:szCs w:val="22"/>
        </w:rPr>
        <w:t>გადაუდებელი</w:t>
      </w:r>
      <w:proofErr w:type="spellEnd"/>
      <w:r w:rsidRPr="001637E0">
        <w:rPr>
          <w:rFonts w:ascii="Sylfaen" w:hAnsi="Sylfaen"/>
          <w:sz w:val="22"/>
          <w:szCs w:val="22"/>
        </w:rPr>
        <w:t xml:space="preserve"> </w:t>
      </w:r>
      <w:proofErr w:type="spellStart"/>
      <w:r w:rsidRPr="001637E0">
        <w:rPr>
          <w:rFonts w:ascii="Sylfaen" w:hAnsi="Sylfaen"/>
          <w:sz w:val="22"/>
          <w:szCs w:val="22"/>
        </w:rPr>
        <w:t>სტაციონარული</w:t>
      </w:r>
      <w:proofErr w:type="spellEnd"/>
      <w:r w:rsidRPr="001637E0">
        <w:rPr>
          <w:rFonts w:ascii="Sylfaen" w:hAnsi="Sylfaen"/>
          <w:sz w:val="22"/>
          <w:szCs w:val="22"/>
        </w:rPr>
        <w:t xml:space="preserve"> </w:t>
      </w:r>
      <w:proofErr w:type="spellStart"/>
      <w:r w:rsidRPr="001637E0">
        <w:rPr>
          <w:rFonts w:ascii="Sylfaen" w:hAnsi="Sylfaen"/>
          <w:sz w:val="22"/>
          <w:szCs w:val="22"/>
        </w:rPr>
        <w:t>მდგომარეობების</w:t>
      </w:r>
      <w:proofErr w:type="spellEnd"/>
      <w:r w:rsidRPr="001637E0">
        <w:rPr>
          <w:rFonts w:ascii="Sylfaen" w:hAnsi="Sylfaen"/>
          <w:sz w:val="22"/>
          <w:szCs w:val="22"/>
        </w:rPr>
        <w:t xml:space="preserve"> </w:t>
      </w:r>
      <w:proofErr w:type="spellStart"/>
      <w:r w:rsidRPr="001637E0">
        <w:rPr>
          <w:rFonts w:ascii="Sylfaen" w:hAnsi="Sylfaen"/>
          <w:sz w:val="22"/>
          <w:szCs w:val="22"/>
        </w:rPr>
        <w:t>აღწერილობები</w:t>
      </w:r>
      <w:proofErr w:type="spellEnd"/>
      <w:r w:rsidRPr="001637E0">
        <w:rPr>
          <w:rFonts w:ascii="Sylfaen" w:hAnsi="Sylfaen"/>
          <w:sz w:val="22"/>
          <w:szCs w:val="22"/>
          <w:lang w:val="ka-GE"/>
        </w:rPr>
        <w:t>. აღნიშნული</w:t>
      </w:r>
      <w:r w:rsidRPr="001637E0">
        <w:rPr>
          <w:rFonts w:ascii="Sylfaen" w:hAnsi="Sylfaen"/>
          <w:sz w:val="22"/>
          <w:szCs w:val="22"/>
        </w:rPr>
        <w:t xml:space="preserve"> </w:t>
      </w:r>
      <w:proofErr w:type="spellStart"/>
      <w:r w:rsidRPr="001637E0">
        <w:rPr>
          <w:rFonts w:ascii="Sylfaen" w:hAnsi="Sylfaen"/>
          <w:sz w:val="22"/>
          <w:szCs w:val="22"/>
        </w:rPr>
        <w:t>გამორიცხავს</w:t>
      </w:r>
      <w:proofErr w:type="spellEnd"/>
      <w:r w:rsidRPr="001637E0">
        <w:rPr>
          <w:rFonts w:ascii="Sylfaen" w:hAnsi="Sylfaen"/>
          <w:sz w:val="22"/>
          <w:szCs w:val="22"/>
        </w:rPr>
        <w:t xml:space="preserve"> </w:t>
      </w:r>
      <w:proofErr w:type="spellStart"/>
      <w:r w:rsidRPr="001637E0">
        <w:rPr>
          <w:rFonts w:ascii="Sylfaen" w:hAnsi="Sylfaen"/>
          <w:sz w:val="22"/>
          <w:szCs w:val="22"/>
        </w:rPr>
        <w:t>პროგრამული</w:t>
      </w:r>
      <w:proofErr w:type="spellEnd"/>
      <w:r w:rsidRPr="001637E0">
        <w:rPr>
          <w:rFonts w:ascii="Sylfaen" w:hAnsi="Sylfaen"/>
          <w:sz w:val="22"/>
          <w:szCs w:val="22"/>
        </w:rPr>
        <w:t xml:space="preserve"> </w:t>
      </w:r>
      <w:proofErr w:type="spellStart"/>
      <w:r w:rsidRPr="001637E0">
        <w:rPr>
          <w:rFonts w:ascii="Sylfaen" w:hAnsi="Sylfaen"/>
          <w:sz w:val="22"/>
          <w:szCs w:val="22"/>
        </w:rPr>
        <w:t>კოდის</w:t>
      </w:r>
      <w:proofErr w:type="spellEnd"/>
      <w:r w:rsidRPr="001637E0">
        <w:rPr>
          <w:rFonts w:ascii="Sylfaen" w:hAnsi="Sylfaen"/>
          <w:sz w:val="22"/>
          <w:szCs w:val="22"/>
        </w:rPr>
        <w:t xml:space="preserve"> </w:t>
      </w:r>
      <w:proofErr w:type="spellStart"/>
      <w:r w:rsidRPr="001637E0">
        <w:rPr>
          <w:rFonts w:ascii="Sylfaen" w:hAnsi="Sylfaen"/>
          <w:sz w:val="22"/>
          <w:szCs w:val="22"/>
        </w:rPr>
        <w:t>არაერთგვაროვან</w:t>
      </w:r>
      <w:proofErr w:type="spellEnd"/>
      <w:r w:rsidRPr="001637E0">
        <w:rPr>
          <w:rFonts w:ascii="Sylfaen" w:hAnsi="Sylfaen"/>
          <w:sz w:val="22"/>
          <w:szCs w:val="22"/>
        </w:rPr>
        <w:t xml:space="preserve"> </w:t>
      </w:r>
      <w:proofErr w:type="spellStart"/>
      <w:r w:rsidRPr="001637E0">
        <w:rPr>
          <w:rFonts w:ascii="Sylfaen" w:hAnsi="Sylfaen"/>
          <w:sz w:val="22"/>
          <w:szCs w:val="22"/>
        </w:rPr>
        <w:t>ინტერპრეტაციას</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მნიშვნელოვნად</w:t>
      </w:r>
      <w:proofErr w:type="spellEnd"/>
      <w:r w:rsidRPr="001637E0">
        <w:rPr>
          <w:rFonts w:ascii="Sylfaen" w:hAnsi="Sylfaen"/>
          <w:sz w:val="22"/>
          <w:szCs w:val="22"/>
        </w:rPr>
        <w:t xml:space="preserve"> </w:t>
      </w:r>
      <w:proofErr w:type="spellStart"/>
      <w:r w:rsidRPr="001637E0">
        <w:rPr>
          <w:rFonts w:ascii="Sylfaen" w:hAnsi="Sylfaen"/>
          <w:sz w:val="22"/>
          <w:szCs w:val="22"/>
        </w:rPr>
        <w:t>გაამარტივებს</w:t>
      </w:r>
      <w:proofErr w:type="spellEnd"/>
      <w:r w:rsidRPr="001637E0">
        <w:rPr>
          <w:rFonts w:ascii="Sylfaen" w:hAnsi="Sylfaen"/>
          <w:sz w:val="22"/>
          <w:szCs w:val="22"/>
        </w:rPr>
        <w:t xml:space="preserve"> </w:t>
      </w:r>
      <w:proofErr w:type="spellStart"/>
      <w:r w:rsidRPr="001637E0">
        <w:rPr>
          <w:rFonts w:ascii="Sylfaen" w:hAnsi="Sylfaen"/>
          <w:sz w:val="22"/>
          <w:szCs w:val="22"/>
        </w:rPr>
        <w:t>პროგრამის</w:t>
      </w:r>
      <w:proofErr w:type="spellEnd"/>
      <w:r w:rsidRPr="001637E0">
        <w:rPr>
          <w:rFonts w:ascii="Sylfaen" w:hAnsi="Sylfaen"/>
          <w:sz w:val="22"/>
          <w:szCs w:val="22"/>
        </w:rPr>
        <w:t xml:space="preserve"> </w:t>
      </w:r>
      <w:proofErr w:type="spellStart"/>
      <w:r w:rsidRPr="001637E0">
        <w:rPr>
          <w:rFonts w:ascii="Sylfaen" w:hAnsi="Sylfaen"/>
          <w:sz w:val="22"/>
          <w:szCs w:val="22"/>
        </w:rPr>
        <w:t>ადმინისტრირებას</w:t>
      </w:r>
      <w:proofErr w:type="spellEnd"/>
      <w:r w:rsidRPr="001637E0">
        <w:rPr>
          <w:rFonts w:ascii="Sylfaen" w:hAnsi="Sylfaen"/>
          <w:sz w:val="22"/>
          <w:szCs w:val="22"/>
        </w:rPr>
        <w:t xml:space="preserve">. </w:t>
      </w:r>
    </w:p>
    <w:p w:rsidR="00794491" w:rsidRPr="001637E0" w:rsidRDefault="00794491" w:rsidP="00794491">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proofErr w:type="spellStart"/>
      <w:r w:rsidRPr="001637E0">
        <w:rPr>
          <w:rFonts w:ascii="Sylfaen" w:hAnsi="Sylfaen"/>
          <w:sz w:val="22"/>
          <w:szCs w:val="22"/>
        </w:rPr>
        <w:t>პროგრამის</w:t>
      </w:r>
      <w:proofErr w:type="spellEnd"/>
      <w:r w:rsidRPr="001637E0">
        <w:rPr>
          <w:rFonts w:ascii="Sylfaen" w:hAnsi="Sylfaen"/>
          <w:sz w:val="22"/>
          <w:szCs w:val="22"/>
        </w:rPr>
        <w:t xml:space="preserve"> </w:t>
      </w:r>
      <w:proofErr w:type="spellStart"/>
      <w:r w:rsidRPr="001637E0">
        <w:rPr>
          <w:rFonts w:ascii="Sylfaen" w:hAnsi="Sylfaen"/>
          <w:sz w:val="22"/>
          <w:szCs w:val="22"/>
        </w:rPr>
        <w:t>ფარგლებში</w:t>
      </w:r>
      <w:proofErr w:type="spellEnd"/>
      <w:r w:rsidRPr="001637E0">
        <w:rPr>
          <w:rFonts w:ascii="Sylfaen" w:hAnsi="Sylfaen"/>
          <w:sz w:val="22"/>
          <w:szCs w:val="22"/>
        </w:rPr>
        <w:t xml:space="preserve"> </w:t>
      </w:r>
      <w:proofErr w:type="spellStart"/>
      <w:r w:rsidRPr="001637E0">
        <w:rPr>
          <w:rFonts w:ascii="Sylfaen" w:hAnsi="Sylfaen"/>
          <w:sz w:val="22"/>
          <w:szCs w:val="22"/>
        </w:rPr>
        <w:t>საკეისრო</w:t>
      </w:r>
      <w:proofErr w:type="spellEnd"/>
      <w:r w:rsidRPr="001637E0">
        <w:rPr>
          <w:rFonts w:ascii="Sylfaen" w:hAnsi="Sylfaen"/>
          <w:sz w:val="22"/>
          <w:szCs w:val="22"/>
        </w:rPr>
        <w:t xml:space="preserve"> </w:t>
      </w:r>
      <w:proofErr w:type="spellStart"/>
      <w:r w:rsidRPr="001637E0">
        <w:rPr>
          <w:rFonts w:ascii="Sylfaen" w:hAnsi="Sylfaen"/>
          <w:sz w:val="22"/>
          <w:szCs w:val="22"/>
        </w:rPr>
        <w:t>კვეთის</w:t>
      </w:r>
      <w:proofErr w:type="spellEnd"/>
      <w:r w:rsidRPr="001637E0">
        <w:rPr>
          <w:rFonts w:ascii="Sylfaen" w:hAnsi="Sylfaen"/>
          <w:sz w:val="22"/>
          <w:szCs w:val="22"/>
        </w:rPr>
        <w:t xml:space="preserve"> </w:t>
      </w:r>
      <w:proofErr w:type="spellStart"/>
      <w:r w:rsidRPr="001637E0">
        <w:rPr>
          <w:rFonts w:ascii="Sylfaen" w:hAnsi="Sylfaen"/>
          <w:sz w:val="22"/>
          <w:szCs w:val="22"/>
        </w:rPr>
        <w:t>სამედიცინო</w:t>
      </w:r>
      <w:proofErr w:type="spellEnd"/>
      <w:r w:rsidRPr="001637E0">
        <w:rPr>
          <w:rFonts w:ascii="Sylfaen" w:hAnsi="Sylfaen"/>
          <w:sz w:val="22"/>
          <w:szCs w:val="22"/>
        </w:rPr>
        <w:t xml:space="preserve"> </w:t>
      </w:r>
      <w:proofErr w:type="spellStart"/>
      <w:r w:rsidRPr="001637E0">
        <w:rPr>
          <w:rFonts w:ascii="Sylfaen" w:hAnsi="Sylfaen"/>
          <w:sz w:val="22"/>
          <w:szCs w:val="22"/>
        </w:rPr>
        <w:t>შემთხვევების</w:t>
      </w:r>
      <w:proofErr w:type="spellEnd"/>
      <w:r w:rsidRPr="001637E0">
        <w:rPr>
          <w:rFonts w:ascii="Sylfaen" w:hAnsi="Sylfaen"/>
          <w:sz w:val="22"/>
          <w:szCs w:val="22"/>
        </w:rPr>
        <w:t xml:space="preserve"> </w:t>
      </w:r>
      <w:proofErr w:type="spellStart"/>
      <w:r w:rsidRPr="001637E0">
        <w:rPr>
          <w:rFonts w:ascii="Sylfaen" w:hAnsi="Sylfaen"/>
          <w:sz w:val="22"/>
          <w:szCs w:val="22"/>
        </w:rPr>
        <w:t>ფაქტობრივი</w:t>
      </w:r>
      <w:proofErr w:type="spellEnd"/>
      <w:r w:rsidRPr="001637E0">
        <w:rPr>
          <w:rFonts w:ascii="Sylfaen" w:hAnsi="Sylfaen"/>
          <w:sz w:val="22"/>
          <w:szCs w:val="22"/>
        </w:rPr>
        <w:t xml:space="preserve"> </w:t>
      </w:r>
      <w:proofErr w:type="spellStart"/>
      <w:r w:rsidRPr="001637E0">
        <w:rPr>
          <w:rFonts w:ascii="Sylfaen" w:hAnsi="Sylfaen"/>
          <w:sz w:val="22"/>
          <w:szCs w:val="22"/>
        </w:rPr>
        <w:t>გარემოებების</w:t>
      </w:r>
      <w:proofErr w:type="spellEnd"/>
      <w:r w:rsidRPr="001637E0">
        <w:rPr>
          <w:rFonts w:ascii="Sylfaen" w:hAnsi="Sylfaen"/>
          <w:sz w:val="22"/>
          <w:szCs w:val="22"/>
        </w:rPr>
        <w:t xml:space="preserve"> (</w:t>
      </w:r>
      <w:proofErr w:type="spellStart"/>
      <w:r w:rsidRPr="001637E0">
        <w:rPr>
          <w:rFonts w:ascii="Sylfaen" w:hAnsi="Sylfaen"/>
          <w:sz w:val="22"/>
          <w:szCs w:val="22"/>
        </w:rPr>
        <w:t>ხშირ</w:t>
      </w:r>
      <w:proofErr w:type="spellEnd"/>
      <w:r w:rsidRPr="001637E0">
        <w:rPr>
          <w:rFonts w:ascii="Sylfaen" w:hAnsi="Sylfaen"/>
          <w:sz w:val="22"/>
          <w:szCs w:val="22"/>
        </w:rPr>
        <w:t xml:space="preserve"> </w:t>
      </w:r>
      <w:proofErr w:type="spellStart"/>
      <w:r w:rsidRPr="001637E0">
        <w:rPr>
          <w:rFonts w:ascii="Sylfaen" w:hAnsi="Sylfaen"/>
          <w:sz w:val="22"/>
          <w:szCs w:val="22"/>
        </w:rPr>
        <w:t>შემთხვევაში</w:t>
      </w:r>
      <w:proofErr w:type="spellEnd"/>
      <w:r w:rsidRPr="001637E0">
        <w:rPr>
          <w:rFonts w:ascii="Sylfaen" w:hAnsi="Sylfaen"/>
          <w:sz w:val="22"/>
          <w:szCs w:val="22"/>
        </w:rPr>
        <w:t xml:space="preserve"> </w:t>
      </w:r>
      <w:proofErr w:type="spellStart"/>
      <w:r w:rsidRPr="001637E0">
        <w:rPr>
          <w:rFonts w:ascii="Sylfaen" w:hAnsi="Sylfaen"/>
          <w:sz w:val="22"/>
          <w:szCs w:val="22"/>
        </w:rPr>
        <w:t>საკეისრო</w:t>
      </w:r>
      <w:proofErr w:type="spellEnd"/>
      <w:r w:rsidRPr="001637E0">
        <w:rPr>
          <w:rFonts w:ascii="Sylfaen" w:hAnsi="Sylfaen"/>
          <w:sz w:val="22"/>
          <w:szCs w:val="22"/>
        </w:rPr>
        <w:t xml:space="preserve"> </w:t>
      </w:r>
      <w:proofErr w:type="spellStart"/>
      <w:r w:rsidRPr="001637E0">
        <w:rPr>
          <w:rFonts w:ascii="Sylfaen" w:hAnsi="Sylfaen"/>
          <w:sz w:val="22"/>
          <w:szCs w:val="22"/>
        </w:rPr>
        <w:t>კვეთის</w:t>
      </w:r>
      <w:proofErr w:type="spellEnd"/>
      <w:r w:rsidRPr="001637E0">
        <w:rPr>
          <w:rFonts w:ascii="Sylfaen" w:hAnsi="Sylfaen"/>
          <w:sz w:val="22"/>
          <w:szCs w:val="22"/>
        </w:rPr>
        <w:t xml:space="preserve"> </w:t>
      </w:r>
      <w:proofErr w:type="spellStart"/>
      <w:r w:rsidRPr="001637E0">
        <w:rPr>
          <w:rFonts w:ascii="Sylfaen" w:hAnsi="Sylfaen"/>
          <w:sz w:val="22"/>
          <w:szCs w:val="22"/>
        </w:rPr>
        <w:t>სამედიცინო</w:t>
      </w:r>
      <w:proofErr w:type="spellEnd"/>
      <w:r w:rsidRPr="001637E0">
        <w:rPr>
          <w:rFonts w:ascii="Sylfaen" w:hAnsi="Sylfaen"/>
          <w:sz w:val="22"/>
          <w:szCs w:val="22"/>
        </w:rPr>
        <w:t xml:space="preserve"> </w:t>
      </w:r>
      <w:proofErr w:type="spellStart"/>
      <w:r w:rsidRPr="001637E0">
        <w:rPr>
          <w:rFonts w:ascii="Sylfaen" w:hAnsi="Sylfaen"/>
          <w:sz w:val="22"/>
          <w:szCs w:val="22"/>
        </w:rPr>
        <w:t>ჩვენება</w:t>
      </w:r>
      <w:proofErr w:type="spellEnd"/>
      <w:r w:rsidRPr="001637E0">
        <w:rPr>
          <w:rFonts w:ascii="Sylfaen" w:hAnsi="Sylfaen"/>
          <w:sz w:val="22"/>
          <w:szCs w:val="22"/>
        </w:rPr>
        <w:t>/</w:t>
      </w:r>
      <w:proofErr w:type="spellStart"/>
      <w:r w:rsidRPr="001637E0">
        <w:rPr>
          <w:rFonts w:ascii="Sylfaen" w:hAnsi="Sylfaen"/>
          <w:sz w:val="22"/>
          <w:szCs w:val="22"/>
        </w:rPr>
        <w:t>ჩატარების</w:t>
      </w:r>
      <w:proofErr w:type="spellEnd"/>
      <w:r w:rsidRPr="001637E0">
        <w:rPr>
          <w:rFonts w:ascii="Sylfaen" w:hAnsi="Sylfaen"/>
          <w:sz w:val="22"/>
          <w:szCs w:val="22"/>
        </w:rPr>
        <w:t xml:space="preserve"> </w:t>
      </w:r>
      <w:proofErr w:type="spellStart"/>
      <w:r w:rsidRPr="001637E0">
        <w:rPr>
          <w:rFonts w:ascii="Sylfaen" w:hAnsi="Sylfaen"/>
          <w:sz w:val="22"/>
          <w:szCs w:val="22"/>
        </w:rPr>
        <w:t>თაობაზე</w:t>
      </w:r>
      <w:proofErr w:type="spellEnd"/>
      <w:r w:rsidRPr="001637E0">
        <w:rPr>
          <w:rFonts w:ascii="Sylfaen" w:hAnsi="Sylfaen"/>
          <w:sz w:val="22"/>
          <w:szCs w:val="22"/>
        </w:rPr>
        <w:t xml:space="preserve"> </w:t>
      </w:r>
      <w:proofErr w:type="spellStart"/>
      <w:r w:rsidRPr="001637E0">
        <w:rPr>
          <w:rFonts w:ascii="Sylfaen" w:hAnsi="Sylfaen"/>
          <w:sz w:val="22"/>
          <w:szCs w:val="22"/>
        </w:rPr>
        <w:t>გადაწყვეტილება</w:t>
      </w:r>
      <w:proofErr w:type="spellEnd"/>
      <w:r w:rsidRPr="001637E0">
        <w:rPr>
          <w:rFonts w:ascii="Sylfaen" w:hAnsi="Sylfaen"/>
          <w:sz w:val="22"/>
          <w:szCs w:val="22"/>
        </w:rPr>
        <w:t xml:space="preserve"> </w:t>
      </w:r>
      <w:proofErr w:type="spellStart"/>
      <w:r w:rsidRPr="001637E0">
        <w:rPr>
          <w:rFonts w:ascii="Sylfaen" w:hAnsi="Sylfaen"/>
          <w:sz w:val="22"/>
          <w:szCs w:val="22"/>
        </w:rPr>
        <w:t>ჰოსპიტალიზაციის</w:t>
      </w:r>
      <w:proofErr w:type="spellEnd"/>
      <w:r w:rsidRPr="001637E0">
        <w:rPr>
          <w:rFonts w:ascii="Sylfaen" w:hAnsi="Sylfaen"/>
          <w:sz w:val="22"/>
          <w:szCs w:val="22"/>
        </w:rPr>
        <w:t xml:space="preserve"> </w:t>
      </w:r>
      <w:proofErr w:type="spellStart"/>
      <w:r w:rsidRPr="001637E0">
        <w:rPr>
          <w:rFonts w:ascii="Sylfaen" w:hAnsi="Sylfaen"/>
          <w:sz w:val="22"/>
          <w:szCs w:val="22"/>
        </w:rPr>
        <w:t>დღეს</w:t>
      </w:r>
      <w:proofErr w:type="spellEnd"/>
      <w:r w:rsidRPr="001637E0">
        <w:rPr>
          <w:rFonts w:ascii="Sylfaen" w:hAnsi="Sylfaen"/>
          <w:sz w:val="22"/>
          <w:szCs w:val="22"/>
        </w:rPr>
        <w:t xml:space="preserve"> </w:t>
      </w:r>
      <w:proofErr w:type="spellStart"/>
      <w:r w:rsidRPr="001637E0">
        <w:rPr>
          <w:rFonts w:ascii="Sylfaen" w:hAnsi="Sylfaen"/>
          <w:sz w:val="22"/>
          <w:szCs w:val="22"/>
        </w:rPr>
        <w:t>მიიღება</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მომსახურების</w:t>
      </w:r>
      <w:proofErr w:type="spellEnd"/>
      <w:r w:rsidRPr="001637E0">
        <w:rPr>
          <w:rFonts w:ascii="Sylfaen" w:hAnsi="Sylfaen"/>
          <w:sz w:val="22"/>
          <w:szCs w:val="22"/>
        </w:rPr>
        <w:t xml:space="preserve"> </w:t>
      </w:r>
      <w:proofErr w:type="spellStart"/>
      <w:r w:rsidRPr="001637E0">
        <w:rPr>
          <w:rFonts w:ascii="Sylfaen" w:hAnsi="Sylfaen"/>
          <w:sz w:val="22"/>
          <w:szCs w:val="22"/>
        </w:rPr>
        <w:t>თავისებურებების</w:t>
      </w:r>
      <w:proofErr w:type="spellEnd"/>
      <w:r w:rsidRPr="001637E0">
        <w:rPr>
          <w:rFonts w:ascii="Sylfaen" w:hAnsi="Sylfaen"/>
          <w:sz w:val="22"/>
          <w:szCs w:val="22"/>
        </w:rPr>
        <w:t xml:space="preserve"> </w:t>
      </w:r>
      <w:proofErr w:type="spellStart"/>
      <w:r w:rsidRPr="001637E0">
        <w:rPr>
          <w:rFonts w:ascii="Sylfaen" w:hAnsi="Sylfaen"/>
          <w:sz w:val="22"/>
          <w:szCs w:val="22"/>
        </w:rPr>
        <w:t>გათვალისწინებით</w:t>
      </w:r>
      <w:proofErr w:type="spellEnd"/>
      <w:r w:rsidRPr="001637E0">
        <w:rPr>
          <w:rFonts w:ascii="Sylfaen" w:hAnsi="Sylfaen"/>
          <w:sz w:val="22"/>
          <w:szCs w:val="22"/>
        </w:rPr>
        <w:t xml:space="preserve">, </w:t>
      </w:r>
      <w:proofErr w:type="spellStart"/>
      <w:r w:rsidRPr="001637E0">
        <w:rPr>
          <w:rFonts w:ascii="Sylfaen" w:hAnsi="Sylfaen"/>
          <w:sz w:val="22"/>
          <w:szCs w:val="22"/>
        </w:rPr>
        <w:t>პროგრამის</w:t>
      </w:r>
      <w:proofErr w:type="spellEnd"/>
      <w:r w:rsidRPr="001637E0">
        <w:rPr>
          <w:rFonts w:ascii="Sylfaen" w:hAnsi="Sylfaen"/>
          <w:sz w:val="22"/>
          <w:szCs w:val="22"/>
        </w:rPr>
        <w:t xml:space="preserve"> </w:t>
      </w:r>
      <w:proofErr w:type="spellStart"/>
      <w:r w:rsidRPr="001637E0">
        <w:rPr>
          <w:rFonts w:ascii="Sylfaen" w:hAnsi="Sylfaen"/>
          <w:sz w:val="22"/>
          <w:szCs w:val="22"/>
        </w:rPr>
        <w:t>მოქნილი</w:t>
      </w:r>
      <w:proofErr w:type="spellEnd"/>
      <w:r w:rsidRPr="001637E0">
        <w:rPr>
          <w:rFonts w:ascii="Sylfaen" w:hAnsi="Sylfaen"/>
          <w:sz w:val="22"/>
          <w:szCs w:val="22"/>
        </w:rPr>
        <w:t xml:space="preserve"> </w:t>
      </w:r>
      <w:proofErr w:type="spellStart"/>
      <w:r w:rsidRPr="001637E0">
        <w:rPr>
          <w:rFonts w:ascii="Sylfaen" w:hAnsi="Sylfaen"/>
          <w:sz w:val="22"/>
          <w:szCs w:val="22"/>
        </w:rPr>
        <w:t>ადმინისტრირების</w:t>
      </w:r>
      <w:proofErr w:type="spellEnd"/>
      <w:r w:rsidRPr="001637E0">
        <w:rPr>
          <w:rFonts w:ascii="Sylfaen" w:hAnsi="Sylfaen"/>
          <w:sz w:val="22"/>
          <w:szCs w:val="22"/>
        </w:rPr>
        <w:t xml:space="preserve"> </w:t>
      </w:r>
      <w:proofErr w:type="spellStart"/>
      <w:r w:rsidRPr="001637E0">
        <w:rPr>
          <w:rFonts w:ascii="Sylfaen" w:hAnsi="Sylfaen"/>
          <w:sz w:val="22"/>
          <w:szCs w:val="22"/>
        </w:rPr>
        <w:t>კუთხით</w:t>
      </w:r>
      <w:proofErr w:type="spellEnd"/>
      <w:r w:rsidRPr="001637E0">
        <w:rPr>
          <w:rFonts w:ascii="Sylfaen" w:hAnsi="Sylfaen"/>
          <w:sz w:val="22"/>
          <w:szCs w:val="22"/>
        </w:rPr>
        <w:t xml:space="preserve">, </w:t>
      </w:r>
      <w:proofErr w:type="spellStart"/>
      <w:r w:rsidRPr="001637E0">
        <w:rPr>
          <w:rFonts w:ascii="Sylfaen" w:hAnsi="Sylfaen"/>
          <w:sz w:val="22"/>
          <w:szCs w:val="22"/>
        </w:rPr>
        <w:t>ისევე</w:t>
      </w:r>
      <w:proofErr w:type="spellEnd"/>
      <w:r w:rsidRPr="001637E0">
        <w:rPr>
          <w:rFonts w:ascii="Sylfaen" w:hAnsi="Sylfaen"/>
          <w:sz w:val="22"/>
          <w:szCs w:val="22"/>
        </w:rPr>
        <w:t xml:space="preserve"> </w:t>
      </w:r>
      <w:proofErr w:type="spellStart"/>
      <w:r w:rsidRPr="001637E0">
        <w:rPr>
          <w:rFonts w:ascii="Sylfaen" w:hAnsi="Sylfaen"/>
          <w:sz w:val="22"/>
          <w:szCs w:val="22"/>
        </w:rPr>
        <w:t>როგორც</w:t>
      </w:r>
      <w:proofErr w:type="spellEnd"/>
      <w:r w:rsidRPr="001637E0">
        <w:rPr>
          <w:rFonts w:ascii="Sylfaen" w:hAnsi="Sylfaen"/>
          <w:sz w:val="22"/>
          <w:szCs w:val="22"/>
        </w:rPr>
        <w:t xml:space="preserve"> </w:t>
      </w:r>
      <w:proofErr w:type="spellStart"/>
      <w:r w:rsidRPr="001637E0">
        <w:rPr>
          <w:rFonts w:ascii="Sylfaen" w:hAnsi="Sylfaen"/>
          <w:sz w:val="22"/>
          <w:szCs w:val="22"/>
        </w:rPr>
        <w:t>მშობიარობის</w:t>
      </w:r>
      <w:proofErr w:type="spellEnd"/>
      <w:r w:rsidRPr="001637E0">
        <w:rPr>
          <w:rFonts w:ascii="Sylfaen" w:hAnsi="Sylfaen"/>
          <w:sz w:val="22"/>
          <w:szCs w:val="22"/>
        </w:rPr>
        <w:t xml:space="preserve"> </w:t>
      </w:r>
      <w:proofErr w:type="spellStart"/>
      <w:r w:rsidRPr="001637E0">
        <w:rPr>
          <w:rFonts w:ascii="Sylfaen" w:hAnsi="Sylfaen"/>
          <w:sz w:val="22"/>
          <w:szCs w:val="22"/>
        </w:rPr>
        <w:t>დროს</w:t>
      </w:r>
      <w:proofErr w:type="spellEnd"/>
      <w:r w:rsidRPr="001637E0">
        <w:rPr>
          <w:rFonts w:ascii="Sylfaen" w:hAnsi="Sylfaen"/>
          <w:sz w:val="22"/>
          <w:szCs w:val="22"/>
        </w:rPr>
        <w:t xml:space="preserve">, </w:t>
      </w:r>
      <w:proofErr w:type="spellStart"/>
      <w:r w:rsidRPr="001637E0">
        <w:rPr>
          <w:rFonts w:ascii="Sylfaen" w:hAnsi="Sylfaen"/>
          <w:sz w:val="22"/>
          <w:szCs w:val="22"/>
        </w:rPr>
        <w:t>მატერიალიზებული</w:t>
      </w:r>
      <w:proofErr w:type="spellEnd"/>
      <w:r w:rsidRPr="001637E0">
        <w:rPr>
          <w:rFonts w:ascii="Sylfaen" w:hAnsi="Sylfaen"/>
          <w:sz w:val="22"/>
          <w:szCs w:val="22"/>
        </w:rPr>
        <w:t xml:space="preserve"> </w:t>
      </w:r>
      <w:proofErr w:type="spellStart"/>
      <w:r w:rsidRPr="001637E0">
        <w:rPr>
          <w:rFonts w:ascii="Sylfaen" w:hAnsi="Sylfaen"/>
          <w:sz w:val="22"/>
          <w:szCs w:val="22"/>
        </w:rPr>
        <w:t>ვაუჩერის</w:t>
      </w:r>
      <w:proofErr w:type="spellEnd"/>
      <w:r w:rsidRPr="001637E0">
        <w:rPr>
          <w:rFonts w:ascii="Sylfaen" w:hAnsi="Sylfaen"/>
          <w:sz w:val="22"/>
          <w:szCs w:val="22"/>
        </w:rPr>
        <w:t xml:space="preserve"> </w:t>
      </w:r>
      <w:proofErr w:type="spellStart"/>
      <w:r w:rsidRPr="001637E0">
        <w:rPr>
          <w:rFonts w:ascii="Sylfaen" w:hAnsi="Sylfaen"/>
          <w:sz w:val="22"/>
          <w:szCs w:val="22"/>
        </w:rPr>
        <w:t>გაცემის</w:t>
      </w:r>
      <w:proofErr w:type="spellEnd"/>
      <w:r w:rsidRPr="001637E0">
        <w:rPr>
          <w:rFonts w:ascii="Sylfaen" w:hAnsi="Sylfaen"/>
          <w:sz w:val="22"/>
          <w:szCs w:val="22"/>
        </w:rPr>
        <w:t xml:space="preserve"> </w:t>
      </w:r>
      <w:proofErr w:type="spellStart"/>
      <w:r w:rsidRPr="001637E0">
        <w:rPr>
          <w:rFonts w:ascii="Sylfaen" w:hAnsi="Sylfaen"/>
          <w:sz w:val="22"/>
          <w:szCs w:val="22"/>
        </w:rPr>
        <w:t>ვალდებულება</w:t>
      </w:r>
      <w:proofErr w:type="spellEnd"/>
      <w:r w:rsidRPr="001637E0">
        <w:rPr>
          <w:rFonts w:ascii="Sylfaen" w:hAnsi="Sylfaen"/>
          <w:sz w:val="22"/>
          <w:szCs w:val="22"/>
        </w:rPr>
        <w:t xml:space="preserve"> </w:t>
      </w:r>
      <w:proofErr w:type="spellStart"/>
      <w:r w:rsidRPr="001637E0">
        <w:rPr>
          <w:rFonts w:ascii="Sylfaen" w:hAnsi="Sylfaen"/>
          <w:sz w:val="22"/>
          <w:szCs w:val="22"/>
        </w:rPr>
        <w:t>მოეხსნას</w:t>
      </w:r>
      <w:proofErr w:type="spellEnd"/>
      <w:r w:rsidRPr="001637E0">
        <w:rPr>
          <w:rFonts w:ascii="Sylfaen" w:hAnsi="Sylfaen"/>
          <w:sz w:val="22"/>
          <w:szCs w:val="22"/>
        </w:rPr>
        <w:t xml:space="preserve"> </w:t>
      </w:r>
      <w:proofErr w:type="spellStart"/>
      <w:r w:rsidRPr="001637E0">
        <w:rPr>
          <w:rFonts w:ascii="Sylfaen" w:hAnsi="Sylfaen"/>
          <w:sz w:val="22"/>
          <w:szCs w:val="22"/>
        </w:rPr>
        <w:t>საკეისრო</w:t>
      </w:r>
      <w:proofErr w:type="spellEnd"/>
      <w:r w:rsidRPr="001637E0">
        <w:rPr>
          <w:rFonts w:ascii="Sylfaen" w:hAnsi="Sylfaen"/>
          <w:sz w:val="22"/>
          <w:szCs w:val="22"/>
        </w:rPr>
        <w:t xml:space="preserve"> </w:t>
      </w:r>
      <w:proofErr w:type="spellStart"/>
      <w:r w:rsidRPr="001637E0">
        <w:rPr>
          <w:rFonts w:ascii="Sylfaen" w:hAnsi="Sylfaen"/>
          <w:sz w:val="22"/>
          <w:szCs w:val="22"/>
        </w:rPr>
        <w:t>კვეთასაც</w:t>
      </w:r>
      <w:proofErr w:type="spellEnd"/>
      <w:r w:rsidRPr="001637E0">
        <w:rPr>
          <w:rFonts w:ascii="Sylfaen" w:hAnsi="Sylfaen"/>
          <w:sz w:val="22"/>
          <w:szCs w:val="22"/>
        </w:rPr>
        <w:t>.</w:t>
      </w:r>
    </w:p>
    <w:p w:rsidR="00794491" w:rsidRPr="001637E0" w:rsidRDefault="00794491" w:rsidP="00794491">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rsidR="00794491" w:rsidRPr="001637E0" w:rsidRDefault="00794491" w:rsidP="00794491">
      <w:pPr>
        <w:ind w:firstLine="720"/>
        <w:jc w:val="both"/>
        <w:rPr>
          <w:rFonts w:ascii="Sylfaen" w:hAnsi="Sylfaen" w:cs="Sylfaen"/>
          <w:sz w:val="22"/>
          <w:szCs w:val="22"/>
          <w:lang w:val="ka-GE"/>
        </w:rPr>
      </w:pPr>
      <w:r>
        <w:rPr>
          <w:rFonts w:ascii="Sylfaen" w:hAnsi="Sylfaen" w:cs="Sylfaen"/>
          <w:sz w:val="22"/>
          <w:szCs w:val="22"/>
          <w:lang w:val="ka-GE"/>
        </w:rPr>
        <w:t>10</w:t>
      </w:r>
      <w:r w:rsidRPr="001637E0">
        <w:rPr>
          <w:rFonts w:ascii="Sylfaen" w:hAnsi="Sylfaen" w:cs="Sylfaen"/>
          <w:sz w:val="22"/>
          <w:szCs w:val="22"/>
          <w:lang w:val="ka-GE"/>
        </w:rPr>
        <w:t xml:space="preserve">. დადგენილების პირობების თანახმად, </w:t>
      </w:r>
      <w:proofErr w:type="spellStart"/>
      <w:r w:rsidRPr="001637E0">
        <w:rPr>
          <w:rFonts w:ascii="Sylfaen" w:hAnsi="Sylfaen" w:cs="Sylfaen"/>
          <w:sz w:val="22"/>
          <w:szCs w:val="22"/>
          <w:lang w:eastAsia="x-none"/>
        </w:rPr>
        <w:t>პროგრამის</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ფარგლებში</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აღებული</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პასუხისმგებლობის</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ცალმხრივად</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შეწყვეტის</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შესახებ</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მიმწოდებელი</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ვალდებულია</w:t>
      </w:r>
      <w:proofErr w:type="spellEnd"/>
      <w:r w:rsidRPr="001637E0">
        <w:rPr>
          <w:rFonts w:ascii="Sylfaen" w:hAnsi="Sylfaen" w:cs="Sylfaen"/>
          <w:sz w:val="22"/>
          <w:szCs w:val="22"/>
          <w:lang w:eastAsia="x-none"/>
        </w:rPr>
        <w:t xml:space="preserve">, 2 </w:t>
      </w:r>
      <w:proofErr w:type="spellStart"/>
      <w:r w:rsidRPr="001637E0">
        <w:rPr>
          <w:rFonts w:ascii="Sylfaen" w:hAnsi="Sylfaen" w:cs="Sylfaen"/>
          <w:sz w:val="22"/>
          <w:szCs w:val="22"/>
          <w:lang w:eastAsia="x-none"/>
        </w:rPr>
        <w:t>თვით</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ადრე</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lastRenderedPageBreak/>
        <w:t>აცნობოს</w:t>
      </w:r>
      <w:proofErr w:type="spellEnd"/>
      <w:r w:rsidRPr="001637E0">
        <w:rPr>
          <w:rFonts w:ascii="Sylfaen" w:hAnsi="Sylfaen" w:cs="Sylfaen"/>
          <w:sz w:val="22"/>
          <w:szCs w:val="22"/>
          <w:lang w:eastAsia="x-none"/>
        </w:rPr>
        <w:t xml:space="preserve"> </w:t>
      </w:r>
      <w:proofErr w:type="spellStart"/>
      <w:r w:rsidRPr="001637E0">
        <w:rPr>
          <w:rFonts w:ascii="Sylfaen" w:hAnsi="Sylfaen" w:cs="Sylfaen"/>
          <w:sz w:val="22"/>
          <w:szCs w:val="22"/>
          <w:lang w:eastAsia="x-none"/>
        </w:rPr>
        <w:t>განმახორციელებელს</w:t>
      </w:r>
      <w:proofErr w:type="spellEnd"/>
      <w:r w:rsidRPr="001637E0">
        <w:rPr>
          <w:rFonts w:ascii="Sylfaen" w:hAnsi="Sylfaen" w:cs="Sylfaen"/>
          <w:sz w:val="22"/>
          <w:szCs w:val="22"/>
          <w:lang w:eastAsia="x-none"/>
        </w:rPr>
        <w:t xml:space="preserve">, </w:t>
      </w:r>
      <w:r w:rsidRPr="001637E0">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Pr="001637E0">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w:t>
      </w:r>
      <w:r w:rsidRPr="001637E0">
        <w:rPr>
          <w:rFonts w:ascii="Sylfaen" w:hAnsi="Sylfaen" w:cs="Sylfaen"/>
          <w:sz w:val="22"/>
          <w:szCs w:val="22"/>
          <w:lang w:val="ka-GE" w:eastAsia="x-none"/>
        </w:rPr>
        <w:t xml:space="preserve">ზემოაღნიშნული ცვლილებების </w:t>
      </w:r>
      <w:r w:rsidRPr="001637E0">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ინფორმაცია ევროკავშირის სამართლებრივი აქტის შესახებ</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1637E0">
        <w:rPr>
          <w:rFonts w:ascii="Sylfaen" w:hAnsi="Sylfaen"/>
          <w:sz w:val="22"/>
          <w:szCs w:val="22"/>
        </w:rPr>
        <w:t>პროექტი</w:t>
      </w:r>
      <w:proofErr w:type="spellEnd"/>
      <w:r w:rsidRPr="001637E0">
        <w:rPr>
          <w:rFonts w:ascii="Sylfaen" w:hAnsi="Sylfaen"/>
          <w:sz w:val="22"/>
          <w:szCs w:val="22"/>
        </w:rPr>
        <w:t xml:space="preserve"> </w:t>
      </w:r>
      <w:proofErr w:type="spellStart"/>
      <w:r w:rsidRPr="001637E0">
        <w:rPr>
          <w:rFonts w:ascii="Sylfaen" w:hAnsi="Sylfaen"/>
          <w:sz w:val="22"/>
          <w:szCs w:val="22"/>
        </w:rPr>
        <w:t>არ</w:t>
      </w:r>
      <w:proofErr w:type="spellEnd"/>
      <w:r w:rsidRPr="001637E0">
        <w:rPr>
          <w:rFonts w:ascii="Sylfaen" w:hAnsi="Sylfaen"/>
          <w:sz w:val="22"/>
          <w:szCs w:val="22"/>
        </w:rPr>
        <w:t xml:space="preserve"> </w:t>
      </w:r>
      <w:proofErr w:type="spellStart"/>
      <w:r w:rsidRPr="001637E0">
        <w:rPr>
          <w:rFonts w:ascii="Sylfaen" w:hAnsi="Sylfaen"/>
          <w:sz w:val="22"/>
          <w:szCs w:val="22"/>
        </w:rPr>
        <w:t>გამომდინარეობს</w:t>
      </w:r>
      <w:proofErr w:type="spellEnd"/>
      <w:r w:rsidRPr="001637E0">
        <w:rPr>
          <w:rFonts w:ascii="Sylfaen" w:hAnsi="Sylfaen"/>
          <w:sz w:val="22"/>
          <w:szCs w:val="22"/>
        </w:rPr>
        <w:t xml:space="preserve"> ,,</w:t>
      </w:r>
      <w:proofErr w:type="spellStart"/>
      <w:r w:rsidRPr="001637E0">
        <w:rPr>
          <w:rFonts w:ascii="Sylfaen" w:hAnsi="Sylfaen"/>
          <w:sz w:val="22"/>
          <w:szCs w:val="22"/>
        </w:rPr>
        <w:t>ერთის</w:t>
      </w:r>
      <w:proofErr w:type="spellEnd"/>
      <w:r w:rsidRPr="001637E0">
        <w:rPr>
          <w:rFonts w:ascii="Sylfaen" w:hAnsi="Sylfaen"/>
          <w:sz w:val="22"/>
          <w:szCs w:val="22"/>
        </w:rPr>
        <w:t xml:space="preserve"> </w:t>
      </w:r>
      <w:proofErr w:type="spellStart"/>
      <w:r w:rsidRPr="001637E0">
        <w:rPr>
          <w:rFonts w:ascii="Sylfaen" w:hAnsi="Sylfaen"/>
          <w:sz w:val="22"/>
          <w:szCs w:val="22"/>
        </w:rPr>
        <w:t>მხრივ</w:t>
      </w:r>
      <w:proofErr w:type="spellEnd"/>
      <w:r w:rsidRPr="001637E0">
        <w:rPr>
          <w:rFonts w:ascii="Sylfaen" w:hAnsi="Sylfaen"/>
          <w:sz w:val="22"/>
          <w:szCs w:val="22"/>
        </w:rPr>
        <w:t xml:space="preserve">, </w:t>
      </w:r>
      <w:proofErr w:type="spellStart"/>
      <w:r w:rsidRPr="001637E0">
        <w:rPr>
          <w:rFonts w:ascii="Sylfaen" w:hAnsi="Sylfaen"/>
          <w:sz w:val="22"/>
          <w:szCs w:val="22"/>
        </w:rPr>
        <w:t>საქართველოსა</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მეორეს</w:t>
      </w:r>
      <w:proofErr w:type="spellEnd"/>
      <w:r w:rsidRPr="001637E0">
        <w:rPr>
          <w:rFonts w:ascii="Sylfaen" w:hAnsi="Sylfaen"/>
          <w:sz w:val="22"/>
          <w:szCs w:val="22"/>
        </w:rPr>
        <w:t xml:space="preserve"> </w:t>
      </w:r>
      <w:proofErr w:type="spellStart"/>
      <w:r w:rsidRPr="001637E0">
        <w:rPr>
          <w:rFonts w:ascii="Sylfaen" w:hAnsi="Sylfaen"/>
          <w:sz w:val="22"/>
          <w:szCs w:val="22"/>
        </w:rPr>
        <w:t>მხრივ</w:t>
      </w:r>
      <w:proofErr w:type="spellEnd"/>
      <w:r w:rsidRPr="001637E0">
        <w:rPr>
          <w:rFonts w:ascii="Sylfaen" w:hAnsi="Sylfaen"/>
          <w:sz w:val="22"/>
          <w:szCs w:val="22"/>
        </w:rPr>
        <w:t xml:space="preserve">, </w:t>
      </w:r>
      <w:proofErr w:type="spellStart"/>
      <w:r w:rsidRPr="001637E0">
        <w:rPr>
          <w:rFonts w:ascii="Sylfaen" w:hAnsi="Sylfaen"/>
          <w:sz w:val="22"/>
          <w:szCs w:val="22"/>
        </w:rPr>
        <w:t>ევროკავშირს</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ევროპის</w:t>
      </w:r>
      <w:proofErr w:type="spellEnd"/>
      <w:r w:rsidRPr="001637E0">
        <w:rPr>
          <w:rFonts w:ascii="Sylfaen" w:hAnsi="Sylfaen"/>
          <w:sz w:val="22"/>
          <w:szCs w:val="22"/>
        </w:rPr>
        <w:t xml:space="preserve"> </w:t>
      </w:r>
      <w:proofErr w:type="spellStart"/>
      <w:r w:rsidRPr="001637E0">
        <w:rPr>
          <w:rFonts w:ascii="Sylfaen" w:hAnsi="Sylfaen"/>
          <w:sz w:val="22"/>
          <w:szCs w:val="22"/>
        </w:rPr>
        <w:t>ატომური</w:t>
      </w:r>
      <w:proofErr w:type="spellEnd"/>
      <w:r w:rsidRPr="001637E0">
        <w:rPr>
          <w:rFonts w:ascii="Sylfaen" w:hAnsi="Sylfaen"/>
          <w:sz w:val="22"/>
          <w:szCs w:val="22"/>
        </w:rPr>
        <w:t xml:space="preserve"> </w:t>
      </w:r>
      <w:proofErr w:type="spellStart"/>
      <w:r w:rsidRPr="001637E0">
        <w:rPr>
          <w:rFonts w:ascii="Sylfaen" w:hAnsi="Sylfaen"/>
          <w:sz w:val="22"/>
          <w:szCs w:val="22"/>
        </w:rPr>
        <w:t>ენერგიის</w:t>
      </w:r>
      <w:proofErr w:type="spellEnd"/>
      <w:r w:rsidRPr="001637E0">
        <w:rPr>
          <w:rFonts w:ascii="Sylfaen" w:hAnsi="Sylfaen"/>
          <w:sz w:val="22"/>
          <w:szCs w:val="22"/>
        </w:rPr>
        <w:t xml:space="preserve"> </w:t>
      </w:r>
      <w:proofErr w:type="spellStart"/>
      <w:r w:rsidRPr="001637E0">
        <w:rPr>
          <w:rFonts w:ascii="Sylfaen" w:hAnsi="Sylfaen"/>
          <w:sz w:val="22"/>
          <w:szCs w:val="22"/>
        </w:rPr>
        <w:t>გაერთიანებას</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მათ</w:t>
      </w:r>
      <w:proofErr w:type="spellEnd"/>
      <w:r w:rsidRPr="001637E0">
        <w:rPr>
          <w:rFonts w:ascii="Sylfaen" w:hAnsi="Sylfaen"/>
          <w:sz w:val="22"/>
          <w:szCs w:val="22"/>
        </w:rPr>
        <w:t xml:space="preserve"> </w:t>
      </w:r>
      <w:proofErr w:type="spellStart"/>
      <w:r w:rsidRPr="001637E0">
        <w:rPr>
          <w:rFonts w:ascii="Sylfaen" w:hAnsi="Sylfaen"/>
          <w:sz w:val="22"/>
          <w:szCs w:val="22"/>
        </w:rPr>
        <w:t>წევრ</w:t>
      </w:r>
      <w:proofErr w:type="spellEnd"/>
      <w:r w:rsidRPr="001637E0">
        <w:rPr>
          <w:rFonts w:ascii="Sylfaen" w:hAnsi="Sylfaen"/>
          <w:sz w:val="22"/>
          <w:szCs w:val="22"/>
        </w:rPr>
        <w:t xml:space="preserve"> </w:t>
      </w:r>
      <w:proofErr w:type="spellStart"/>
      <w:r w:rsidRPr="001637E0">
        <w:rPr>
          <w:rFonts w:ascii="Sylfaen" w:hAnsi="Sylfaen"/>
          <w:sz w:val="22"/>
          <w:szCs w:val="22"/>
        </w:rPr>
        <w:t>სახელმწიფოებს</w:t>
      </w:r>
      <w:proofErr w:type="spellEnd"/>
      <w:r w:rsidRPr="001637E0">
        <w:rPr>
          <w:rFonts w:ascii="Sylfaen" w:hAnsi="Sylfaen"/>
          <w:sz w:val="22"/>
          <w:szCs w:val="22"/>
        </w:rPr>
        <w:t xml:space="preserve"> </w:t>
      </w:r>
      <w:proofErr w:type="spellStart"/>
      <w:r w:rsidRPr="001637E0">
        <w:rPr>
          <w:rFonts w:ascii="Sylfaen" w:hAnsi="Sylfaen"/>
          <w:sz w:val="22"/>
          <w:szCs w:val="22"/>
        </w:rPr>
        <w:t>შორის</w:t>
      </w:r>
      <w:proofErr w:type="spellEnd"/>
      <w:r w:rsidRPr="001637E0">
        <w:rPr>
          <w:rFonts w:ascii="Sylfaen" w:hAnsi="Sylfaen"/>
          <w:sz w:val="22"/>
          <w:szCs w:val="22"/>
        </w:rPr>
        <w:t xml:space="preserve"> </w:t>
      </w:r>
      <w:proofErr w:type="spellStart"/>
      <w:r w:rsidRPr="001637E0">
        <w:rPr>
          <w:rFonts w:ascii="Sylfaen" w:hAnsi="Sylfaen"/>
          <w:sz w:val="22"/>
          <w:szCs w:val="22"/>
        </w:rPr>
        <w:t>ასოცირების</w:t>
      </w:r>
      <w:proofErr w:type="spellEnd"/>
      <w:r w:rsidRPr="001637E0">
        <w:rPr>
          <w:rFonts w:ascii="Sylfaen" w:hAnsi="Sylfaen"/>
          <w:sz w:val="22"/>
          <w:szCs w:val="22"/>
        </w:rPr>
        <w:t xml:space="preserve"> </w:t>
      </w:r>
      <w:proofErr w:type="spellStart"/>
      <w:r w:rsidRPr="001637E0">
        <w:rPr>
          <w:rFonts w:ascii="Sylfaen" w:hAnsi="Sylfaen"/>
          <w:sz w:val="22"/>
          <w:szCs w:val="22"/>
        </w:rPr>
        <w:t>შესახებ</w:t>
      </w:r>
      <w:proofErr w:type="spellEnd"/>
      <w:r w:rsidRPr="001637E0">
        <w:rPr>
          <w:rFonts w:ascii="Sylfaen" w:hAnsi="Sylfaen"/>
          <w:sz w:val="22"/>
          <w:szCs w:val="22"/>
        </w:rPr>
        <w:t xml:space="preserve"> </w:t>
      </w:r>
      <w:proofErr w:type="spellStart"/>
      <w:r w:rsidRPr="001637E0">
        <w:rPr>
          <w:rFonts w:ascii="Sylfaen" w:hAnsi="Sylfaen"/>
          <w:sz w:val="22"/>
          <w:szCs w:val="22"/>
        </w:rPr>
        <w:t>შეთანხმებიდან</w:t>
      </w:r>
      <w:proofErr w:type="spellEnd"/>
      <w:r w:rsidRPr="001637E0">
        <w:rPr>
          <w:rFonts w:ascii="Sylfaen" w:hAnsi="Sylfaen"/>
          <w:sz w:val="22"/>
          <w:szCs w:val="22"/>
        </w:rPr>
        <w:t xml:space="preserve">“ </w:t>
      </w:r>
      <w:proofErr w:type="spellStart"/>
      <w:r w:rsidRPr="001637E0">
        <w:rPr>
          <w:rFonts w:ascii="Sylfaen" w:hAnsi="Sylfaen"/>
          <w:sz w:val="22"/>
          <w:szCs w:val="22"/>
        </w:rPr>
        <w:t>ან</w:t>
      </w:r>
      <w:proofErr w:type="spellEnd"/>
      <w:r w:rsidRPr="001637E0">
        <w:rPr>
          <w:rFonts w:ascii="Sylfaen" w:hAnsi="Sylfaen"/>
          <w:sz w:val="22"/>
          <w:szCs w:val="22"/>
        </w:rPr>
        <w:t xml:space="preserve"> </w:t>
      </w:r>
      <w:proofErr w:type="spellStart"/>
      <w:r w:rsidRPr="001637E0">
        <w:rPr>
          <w:rFonts w:ascii="Sylfaen" w:hAnsi="Sylfaen"/>
          <w:sz w:val="22"/>
          <w:szCs w:val="22"/>
        </w:rPr>
        <w:t>ევროკავშირთან</w:t>
      </w:r>
      <w:proofErr w:type="spellEnd"/>
      <w:r w:rsidRPr="001637E0">
        <w:rPr>
          <w:rFonts w:ascii="Sylfaen" w:hAnsi="Sylfaen"/>
          <w:sz w:val="22"/>
          <w:szCs w:val="22"/>
        </w:rPr>
        <w:t xml:space="preserve"> </w:t>
      </w:r>
      <w:proofErr w:type="spellStart"/>
      <w:r w:rsidRPr="001637E0">
        <w:rPr>
          <w:rFonts w:ascii="Sylfaen" w:hAnsi="Sylfaen"/>
          <w:sz w:val="22"/>
          <w:szCs w:val="22"/>
        </w:rPr>
        <w:t>დადებული</w:t>
      </w:r>
      <w:proofErr w:type="spellEnd"/>
      <w:r w:rsidRPr="001637E0">
        <w:rPr>
          <w:rFonts w:ascii="Sylfaen" w:hAnsi="Sylfaen"/>
          <w:sz w:val="22"/>
          <w:szCs w:val="22"/>
        </w:rPr>
        <w:t xml:space="preserve"> </w:t>
      </w:r>
      <w:proofErr w:type="spellStart"/>
      <w:r w:rsidRPr="001637E0">
        <w:rPr>
          <w:rFonts w:ascii="Sylfaen" w:hAnsi="Sylfaen"/>
          <w:sz w:val="22"/>
          <w:szCs w:val="22"/>
        </w:rPr>
        <w:t>საქართველოს</w:t>
      </w:r>
      <w:proofErr w:type="spellEnd"/>
      <w:r w:rsidRPr="001637E0">
        <w:rPr>
          <w:rFonts w:ascii="Sylfaen" w:hAnsi="Sylfaen"/>
          <w:sz w:val="22"/>
          <w:szCs w:val="22"/>
        </w:rPr>
        <w:t xml:space="preserve"> </w:t>
      </w:r>
      <w:proofErr w:type="spellStart"/>
      <w:r w:rsidRPr="001637E0">
        <w:rPr>
          <w:rFonts w:ascii="Sylfaen" w:hAnsi="Sylfaen"/>
          <w:sz w:val="22"/>
          <w:szCs w:val="22"/>
        </w:rPr>
        <w:t>სხვა</w:t>
      </w:r>
      <w:proofErr w:type="spellEnd"/>
      <w:r w:rsidRPr="001637E0">
        <w:rPr>
          <w:rFonts w:ascii="Sylfaen" w:hAnsi="Sylfaen"/>
          <w:sz w:val="22"/>
          <w:szCs w:val="22"/>
        </w:rPr>
        <w:t xml:space="preserve"> </w:t>
      </w:r>
      <w:proofErr w:type="spellStart"/>
      <w:r w:rsidRPr="001637E0">
        <w:rPr>
          <w:rFonts w:ascii="Sylfaen" w:hAnsi="Sylfaen"/>
          <w:sz w:val="22"/>
          <w:szCs w:val="22"/>
        </w:rPr>
        <w:t>ორმხრივი</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მრავალმხრივი</w:t>
      </w:r>
      <w:proofErr w:type="spellEnd"/>
      <w:r w:rsidRPr="001637E0">
        <w:rPr>
          <w:rFonts w:ascii="Sylfaen" w:hAnsi="Sylfaen"/>
          <w:sz w:val="22"/>
          <w:szCs w:val="22"/>
        </w:rPr>
        <w:t xml:space="preserve"> </w:t>
      </w:r>
      <w:proofErr w:type="spellStart"/>
      <w:r w:rsidRPr="001637E0">
        <w:rPr>
          <w:rFonts w:ascii="Sylfaen" w:hAnsi="Sylfaen"/>
          <w:sz w:val="22"/>
          <w:szCs w:val="22"/>
        </w:rPr>
        <w:t>ხელშეკრულებებიდან</w:t>
      </w:r>
      <w:proofErr w:type="spellEnd"/>
      <w:r w:rsidRPr="001637E0">
        <w:rPr>
          <w:rFonts w:ascii="Sylfaen" w:hAnsi="Sylfaen"/>
          <w:sz w:val="22"/>
          <w:szCs w:val="22"/>
        </w:rPr>
        <w:t>.</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1637E0">
        <w:rPr>
          <w:rFonts w:ascii="Sylfaen" w:hAnsi="Sylfaen"/>
          <w:sz w:val="22"/>
          <w:szCs w:val="22"/>
        </w:rPr>
        <w:t>პროექტის</w:t>
      </w:r>
      <w:proofErr w:type="spellEnd"/>
      <w:r w:rsidRPr="001637E0">
        <w:rPr>
          <w:rFonts w:ascii="Sylfaen" w:hAnsi="Sylfaen"/>
          <w:sz w:val="22"/>
          <w:szCs w:val="22"/>
        </w:rPr>
        <w:t xml:space="preserve"> </w:t>
      </w:r>
      <w:proofErr w:type="spellStart"/>
      <w:r w:rsidRPr="001637E0">
        <w:rPr>
          <w:rFonts w:ascii="Sylfaen" w:hAnsi="Sylfaen"/>
          <w:sz w:val="22"/>
          <w:szCs w:val="22"/>
        </w:rPr>
        <w:t>მიღება</w:t>
      </w:r>
      <w:proofErr w:type="spellEnd"/>
      <w:r w:rsidRPr="001637E0">
        <w:rPr>
          <w:rFonts w:ascii="Sylfaen" w:hAnsi="Sylfaen"/>
          <w:sz w:val="22"/>
          <w:szCs w:val="22"/>
        </w:rPr>
        <w:t xml:space="preserve"> </w:t>
      </w:r>
      <w:proofErr w:type="spellStart"/>
      <w:r w:rsidRPr="001637E0">
        <w:rPr>
          <w:rFonts w:ascii="Sylfaen" w:hAnsi="Sylfaen"/>
          <w:sz w:val="22"/>
          <w:szCs w:val="22"/>
        </w:rPr>
        <w:t>არ</w:t>
      </w:r>
      <w:proofErr w:type="spellEnd"/>
      <w:r w:rsidRPr="001637E0">
        <w:rPr>
          <w:rFonts w:ascii="Sylfaen" w:hAnsi="Sylfaen"/>
          <w:sz w:val="22"/>
          <w:szCs w:val="22"/>
        </w:rPr>
        <w:t xml:space="preserve"> </w:t>
      </w:r>
      <w:proofErr w:type="spellStart"/>
      <w:r w:rsidRPr="001637E0">
        <w:rPr>
          <w:rFonts w:ascii="Sylfaen" w:hAnsi="Sylfaen"/>
          <w:sz w:val="22"/>
          <w:szCs w:val="22"/>
        </w:rPr>
        <w:t>გამოიწვევს</w:t>
      </w:r>
      <w:proofErr w:type="spellEnd"/>
      <w:r w:rsidRPr="001637E0">
        <w:rPr>
          <w:rFonts w:ascii="Sylfaen" w:hAnsi="Sylfaen"/>
          <w:sz w:val="22"/>
          <w:szCs w:val="22"/>
        </w:rPr>
        <w:t xml:space="preserve"> </w:t>
      </w:r>
      <w:proofErr w:type="spellStart"/>
      <w:r w:rsidRPr="001637E0">
        <w:rPr>
          <w:rFonts w:ascii="Sylfaen" w:hAnsi="Sylfaen"/>
          <w:sz w:val="22"/>
          <w:szCs w:val="22"/>
        </w:rPr>
        <w:t>დამატებით</w:t>
      </w:r>
      <w:proofErr w:type="spellEnd"/>
      <w:r w:rsidRPr="001637E0">
        <w:rPr>
          <w:rFonts w:ascii="Sylfaen" w:hAnsi="Sylfaen"/>
          <w:sz w:val="22"/>
          <w:szCs w:val="22"/>
        </w:rPr>
        <w:t xml:space="preserve"> </w:t>
      </w:r>
      <w:proofErr w:type="spellStart"/>
      <w:r w:rsidRPr="001637E0">
        <w:rPr>
          <w:rFonts w:ascii="Sylfaen" w:hAnsi="Sylfaen"/>
          <w:sz w:val="22"/>
          <w:szCs w:val="22"/>
        </w:rPr>
        <w:t>საბიუჯეტო</w:t>
      </w:r>
      <w:proofErr w:type="spellEnd"/>
      <w:r w:rsidRPr="001637E0">
        <w:rPr>
          <w:rFonts w:ascii="Sylfaen" w:hAnsi="Sylfaen"/>
          <w:sz w:val="22"/>
          <w:szCs w:val="22"/>
        </w:rPr>
        <w:t xml:space="preserve"> </w:t>
      </w:r>
      <w:proofErr w:type="spellStart"/>
      <w:r w:rsidRPr="001637E0">
        <w:rPr>
          <w:rFonts w:ascii="Sylfaen" w:hAnsi="Sylfaen"/>
          <w:sz w:val="22"/>
          <w:szCs w:val="22"/>
        </w:rPr>
        <w:t>ხარჯებს</w:t>
      </w:r>
      <w:proofErr w:type="spellEnd"/>
      <w:r w:rsidRPr="001637E0">
        <w:rPr>
          <w:rFonts w:ascii="Sylfaen" w:hAnsi="Sylfaen"/>
          <w:sz w:val="22"/>
          <w:szCs w:val="22"/>
          <w:lang w:val="ka-GE"/>
        </w:rPr>
        <w:t>.</w:t>
      </w:r>
      <w:r w:rsidRPr="001637E0">
        <w:rPr>
          <w:rFonts w:ascii="Sylfaen" w:hAnsi="Sylfaen"/>
          <w:sz w:val="22"/>
          <w:szCs w:val="22"/>
        </w:rPr>
        <w:t xml:space="preserve"> </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მოსალოდნელი შედეგები</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1637E0">
        <w:rPr>
          <w:rFonts w:ascii="Sylfaen" w:hAnsi="Sylfaen"/>
          <w:sz w:val="22"/>
          <w:szCs w:val="22"/>
        </w:rPr>
        <w:t>პროგრამის</w:t>
      </w:r>
      <w:proofErr w:type="spellEnd"/>
      <w:r w:rsidRPr="001637E0">
        <w:rPr>
          <w:rFonts w:ascii="Sylfaen" w:hAnsi="Sylfaen"/>
          <w:sz w:val="22"/>
          <w:szCs w:val="22"/>
        </w:rPr>
        <w:t xml:space="preserve"> </w:t>
      </w:r>
      <w:proofErr w:type="spellStart"/>
      <w:r w:rsidRPr="001637E0">
        <w:rPr>
          <w:rFonts w:ascii="Sylfaen" w:hAnsi="Sylfaen"/>
          <w:sz w:val="22"/>
          <w:szCs w:val="22"/>
        </w:rPr>
        <w:t>ადმინისტრირების</w:t>
      </w:r>
      <w:proofErr w:type="spellEnd"/>
      <w:r w:rsidRPr="001637E0">
        <w:rPr>
          <w:rFonts w:ascii="Sylfaen" w:hAnsi="Sylfaen"/>
          <w:sz w:val="22"/>
          <w:szCs w:val="22"/>
        </w:rPr>
        <w:t xml:space="preserve"> </w:t>
      </w:r>
      <w:proofErr w:type="spellStart"/>
      <w:r w:rsidRPr="001637E0">
        <w:rPr>
          <w:rFonts w:ascii="Sylfaen" w:hAnsi="Sylfaen"/>
          <w:sz w:val="22"/>
          <w:szCs w:val="22"/>
        </w:rPr>
        <w:t>გაუმჯობესება</w:t>
      </w:r>
      <w:proofErr w:type="spellEnd"/>
      <w:r w:rsidRPr="001637E0">
        <w:rPr>
          <w:rFonts w:ascii="Sylfaen" w:hAnsi="Sylfaen"/>
          <w:sz w:val="22"/>
          <w:szCs w:val="22"/>
        </w:rPr>
        <w:t>.</w:t>
      </w: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განხორციელების ვადები</w:t>
      </w:r>
    </w:p>
    <w:p w:rsidR="00794491" w:rsidRPr="001637E0" w:rsidRDefault="00794491" w:rsidP="00794491">
      <w:pPr>
        <w:ind w:firstLine="720"/>
        <w:jc w:val="both"/>
        <w:rPr>
          <w:rFonts w:ascii="Sylfaen" w:hAnsi="Sylfaen" w:cs="Sylfaen"/>
          <w:sz w:val="22"/>
          <w:szCs w:val="22"/>
          <w:lang w:val="ka-GE"/>
        </w:rPr>
      </w:pPr>
      <w:proofErr w:type="spellStart"/>
      <w:r w:rsidRPr="001637E0">
        <w:rPr>
          <w:rFonts w:ascii="Sylfaen" w:hAnsi="Sylfaen"/>
          <w:sz w:val="22"/>
          <w:szCs w:val="22"/>
        </w:rPr>
        <w:t>ცვლილება</w:t>
      </w:r>
      <w:proofErr w:type="spellEnd"/>
      <w:r w:rsidRPr="001637E0">
        <w:rPr>
          <w:rFonts w:ascii="Sylfaen" w:hAnsi="Sylfaen"/>
          <w:sz w:val="22"/>
          <w:szCs w:val="22"/>
        </w:rPr>
        <w:t xml:space="preserve"> </w:t>
      </w:r>
      <w:proofErr w:type="spellStart"/>
      <w:r w:rsidRPr="001637E0">
        <w:rPr>
          <w:rFonts w:ascii="Sylfaen" w:hAnsi="Sylfaen"/>
          <w:sz w:val="22"/>
          <w:szCs w:val="22"/>
        </w:rPr>
        <w:t>ამოქმედდება</w:t>
      </w:r>
      <w:proofErr w:type="spellEnd"/>
      <w:r w:rsidRPr="001637E0">
        <w:rPr>
          <w:rFonts w:ascii="Sylfaen" w:hAnsi="Sylfaen"/>
          <w:sz w:val="22"/>
          <w:szCs w:val="22"/>
        </w:rPr>
        <w:t xml:space="preserve"> </w:t>
      </w:r>
      <w:r w:rsidRPr="001637E0">
        <w:rPr>
          <w:rFonts w:ascii="Sylfaen" w:hAnsi="Sylfaen" w:cs="Sylfaen"/>
          <w:sz w:val="22"/>
          <w:szCs w:val="22"/>
          <w:lang w:val="ka-GE"/>
        </w:rPr>
        <w:t>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გამოქვეყნებიდან მე-15 დღეს.</w:t>
      </w:r>
    </w:p>
    <w:p w:rsidR="00794491" w:rsidRPr="001637E0"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794491" w:rsidRPr="001637E0" w:rsidRDefault="00794491" w:rsidP="00794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637E0">
        <w:rPr>
          <w:rFonts w:ascii="Sylfaen" w:eastAsia="Sylfaen" w:hAnsi="Sylfaen"/>
          <w:b/>
          <w:sz w:val="22"/>
          <w:szCs w:val="22"/>
          <w:lang w:val="ka-GE"/>
        </w:rPr>
        <w:t>პროექტის ავტორ(ებ)ი და წარმდგენი</w:t>
      </w:r>
    </w:p>
    <w:p w:rsidR="00794491" w:rsidRPr="00914177" w:rsidRDefault="00794491" w:rsidP="0079449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1637E0">
        <w:rPr>
          <w:rFonts w:ascii="Sylfaen" w:hAnsi="Sylfaen"/>
          <w:sz w:val="22"/>
          <w:szCs w:val="22"/>
        </w:rPr>
        <w:t>პროექტის</w:t>
      </w:r>
      <w:proofErr w:type="spellEnd"/>
      <w:r w:rsidRPr="001637E0">
        <w:rPr>
          <w:rFonts w:ascii="Sylfaen" w:hAnsi="Sylfaen"/>
          <w:sz w:val="22"/>
          <w:szCs w:val="22"/>
        </w:rPr>
        <w:t xml:space="preserve"> </w:t>
      </w:r>
      <w:proofErr w:type="spellStart"/>
      <w:r w:rsidRPr="001637E0">
        <w:rPr>
          <w:rFonts w:ascii="Sylfaen" w:hAnsi="Sylfaen"/>
          <w:sz w:val="22"/>
          <w:szCs w:val="22"/>
        </w:rPr>
        <w:t>ავტორი</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წარმდგენია</w:t>
      </w:r>
      <w:proofErr w:type="spellEnd"/>
      <w:r w:rsidRPr="001637E0">
        <w:rPr>
          <w:rFonts w:ascii="Sylfaen" w:hAnsi="Sylfaen"/>
          <w:sz w:val="22"/>
          <w:szCs w:val="22"/>
        </w:rPr>
        <w:t xml:space="preserve"> </w:t>
      </w:r>
      <w:proofErr w:type="spellStart"/>
      <w:r w:rsidRPr="001637E0">
        <w:rPr>
          <w:rFonts w:ascii="Sylfaen" w:hAnsi="Sylfaen"/>
          <w:sz w:val="22"/>
          <w:szCs w:val="22"/>
        </w:rPr>
        <w:t>საქართველოს</w:t>
      </w:r>
      <w:proofErr w:type="spellEnd"/>
      <w:r w:rsidRPr="001637E0">
        <w:rPr>
          <w:rFonts w:ascii="Sylfaen" w:hAnsi="Sylfaen"/>
          <w:sz w:val="22"/>
          <w:szCs w:val="22"/>
        </w:rPr>
        <w:t xml:space="preserve"> </w:t>
      </w:r>
      <w:proofErr w:type="spellStart"/>
      <w:r w:rsidRPr="001637E0">
        <w:rPr>
          <w:rFonts w:ascii="Sylfaen" w:hAnsi="Sylfaen"/>
          <w:sz w:val="22"/>
          <w:szCs w:val="22"/>
        </w:rPr>
        <w:t>ოკუპირებული</w:t>
      </w:r>
      <w:proofErr w:type="spellEnd"/>
      <w:r w:rsidRPr="001637E0">
        <w:rPr>
          <w:rFonts w:ascii="Sylfaen" w:hAnsi="Sylfaen"/>
          <w:sz w:val="22"/>
          <w:szCs w:val="22"/>
        </w:rPr>
        <w:t xml:space="preserve"> </w:t>
      </w:r>
      <w:proofErr w:type="spellStart"/>
      <w:r w:rsidRPr="001637E0">
        <w:rPr>
          <w:rFonts w:ascii="Sylfaen" w:hAnsi="Sylfaen"/>
          <w:sz w:val="22"/>
          <w:szCs w:val="22"/>
        </w:rPr>
        <w:t>ტერიტორიებიდან</w:t>
      </w:r>
      <w:proofErr w:type="spellEnd"/>
      <w:r w:rsidRPr="001637E0">
        <w:rPr>
          <w:rFonts w:ascii="Sylfaen" w:hAnsi="Sylfaen"/>
          <w:sz w:val="22"/>
          <w:szCs w:val="22"/>
        </w:rPr>
        <w:t xml:space="preserve"> </w:t>
      </w:r>
      <w:proofErr w:type="spellStart"/>
      <w:r w:rsidRPr="001637E0">
        <w:rPr>
          <w:rFonts w:ascii="Sylfaen" w:hAnsi="Sylfaen"/>
          <w:sz w:val="22"/>
          <w:szCs w:val="22"/>
        </w:rPr>
        <w:t>დევნილთა</w:t>
      </w:r>
      <w:proofErr w:type="spellEnd"/>
      <w:r w:rsidRPr="001637E0">
        <w:rPr>
          <w:rFonts w:ascii="Sylfaen" w:hAnsi="Sylfaen"/>
          <w:sz w:val="22"/>
          <w:szCs w:val="22"/>
        </w:rPr>
        <w:t xml:space="preserve">, </w:t>
      </w:r>
      <w:proofErr w:type="spellStart"/>
      <w:r w:rsidRPr="001637E0">
        <w:rPr>
          <w:rFonts w:ascii="Sylfaen" w:hAnsi="Sylfaen"/>
          <w:sz w:val="22"/>
          <w:szCs w:val="22"/>
        </w:rPr>
        <w:t>შრომის</w:t>
      </w:r>
      <w:proofErr w:type="spellEnd"/>
      <w:r w:rsidRPr="001637E0">
        <w:rPr>
          <w:rFonts w:ascii="Sylfaen" w:hAnsi="Sylfaen"/>
          <w:sz w:val="22"/>
          <w:szCs w:val="22"/>
        </w:rPr>
        <w:t xml:space="preserve">, </w:t>
      </w:r>
      <w:proofErr w:type="spellStart"/>
      <w:r w:rsidRPr="001637E0">
        <w:rPr>
          <w:rFonts w:ascii="Sylfaen" w:hAnsi="Sylfaen"/>
          <w:sz w:val="22"/>
          <w:szCs w:val="22"/>
        </w:rPr>
        <w:t>ჯანმრთელობისა</w:t>
      </w:r>
      <w:proofErr w:type="spellEnd"/>
      <w:r w:rsidRPr="001637E0">
        <w:rPr>
          <w:rFonts w:ascii="Sylfaen" w:hAnsi="Sylfaen"/>
          <w:sz w:val="22"/>
          <w:szCs w:val="22"/>
        </w:rPr>
        <w:t xml:space="preserve"> </w:t>
      </w:r>
      <w:proofErr w:type="spellStart"/>
      <w:r w:rsidRPr="001637E0">
        <w:rPr>
          <w:rFonts w:ascii="Sylfaen" w:hAnsi="Sylfaen"/>
          <w:sz w:val="22"/>
          <w:szCs w:val="22"/>
        </w:rPr>
        <w:t>და</w:t>
      </w:r>
      <w:proofErr w:type="spellEnd"/>
      <w:r w:rsidRPr="001637E0">
        <w:rPr>
          <w:rFonts w:ascii="Sylfaen" w:hAnsi="Sylfaen"/>
          <w:sz w:val="22"/>
          <w:szCs w:val="22"/>
        </w:rPr>
        <w:t xml:space="preserve"> </w:t>
      </w:r>
      <w:proofErr w:type="spellStart"/>
      <w:r w:rsidRPr="001637E0">
        <w:rPr>
          <w:rFonts w:ascii="Sylfaen" w:hAnsi="Sylfaen"/>
          <w:sz w:val="22"/>
          <w:szCs w:val="22"/>
        </w:rPr>
        <w:t>სოციალური</w:t>
      </w:r>
      <w:proofErr w:type="spellEnd"/>
      <w:r w:rsidRPr="001637E0">
        <w:rPr>
          <w:rFonts w:ascii="Sylfaen" w:hAnsi="Sylfaen"/>
          <w:sz w:val="22"/>
          <w:szCs w:val="22"/>
        </w:rPr>
        <w:t xml:space="preserve"> </w:t>
      </w:r>
      <w:proofErr w:type="spellStart"/>
      <w:r w:rsidRPr="001637E0">
        <w:rPr>
          <w:rFonts w:ascii="Sylfaen" w:hAnsi="Sylfaen"/>
          <w:sz w:val="22"/>
          <w:szCs w:val="22"/>
        </w:rPr>
        <w:t>დაცვის</w:t>
      </w:r>
      <w:proofErr w:type="spellEnd"/>
      <w:r w:rsidRPr="001637E0">
        <w:rPr>
          <w:rFonts w:ascii="Sylfaen" w:hAnsi="Sylfaen"/>
          <w:sz w:val="22"/>
          <w:szCs w:val="22"/>
        </w:rPr>
        <w:t xml:space="preserve"> </w:t>
      </w:r>
      <w:proofErr w:type="spellStart"/>
      <w:r w:rsidRPr="001637E0">
        <w:rPr>
          <w:rFonts w:ascii="Sylfaen" w:hAnsi="Sylfaen"/>
          <w:sz w:val="22"/>
          <w:szCs w:val="22"/>
        </w:rPr>
        <w:t>სამინისტრო</w:t>
      </w:r>
      <w:proofErr w:type="spellEnd"/>
      <w:r w:rsidRPr="001637E0">
        <w:rPr>
          <w:rFonts w:ascii="Sylfaen" w:hAnsi="Sylfaen"/>
          <w:sz w:val="22"/>
          <w:szCs w:val="22"/>
        </w:rPr>
        <w:t>.</w:t>
      </w:r>
    </w:p>
    <w:p w:rsidR="00794491" w:rsidRPr="00914177" w:rsidRDefault="00794491" w:rsidP="00794491">
      <w:pPr>
        <w:rPr>
          <w:sz w:val="22"/>
          <w:szCs w:val="22"/>
        </w:rPr>
      </w:pPr>
    </w:p>
    <w:p w:rsidR="00794491" w:rsidRPr="008D1744" w:rsidRDefault="00794491" w:rsidP="007944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p w:rsidR="00E177A6" w:rsidRDefault="00E177A6">
      <w:bookmarkStart w:id="0" w:name="_GoBack"/>
      <w:bookmarkEnd w:id="0"/>
    </w:p>
    <w:sectPr w:rsidR="00E177A6">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91"/>
    <w:rsid w:val="00794491"/>
    <w:rsid w:val="00E1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91"/>
    <w:pPr>
      <w:autoSpaceDE w:val="0"/>
      <w:autoSpaceDN w:val="0"/>
      <w:adjustRightInd w:val="0"/>
      <w:spacing w:after="0" w:line="240" w:lineRule="auto"/>
    </w:pPr>
    <w:rPr>
      <w:rFonts w:ascii="Times New Roman" w:eastAsiaTheme="minorEastAsia"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4491"/>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491"/>
    <w:pPr>
      <w:autoSpaceDE w:val="0"/>
      <w:autoSpaceDN w:val="0"/>
      <w:adjustRightInd w:val="0"/>
      <w:spacing w:after="0" w:line="240" w:lineRule="auto"/>
    </w:pPr>
    <w:rPr>
      <w:rFonts w:ascii="Times New Roman" w:eastAsiaTheme="minorEastAsia"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94491"/>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cp:revision>
  <dcterms:created xsi:type="dcterms:W3CDTF">2019-10-09T14:20:00Z</dcterms:created>
  <dcterms:modified xsi:type="dcterms:W3CDTF">2019-10-09T14:20:00Z</dcterms:modified>
</cp:coreProperties>
</file>